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auto"/>
          <w:sz w:val="52"/>
          <w:szCs w:val="52"/>
        </w:rPr>
      </w:pPr>
    </w:p>
    <w:p>
      <w:pPr>
        <w:jc w:val="center"/>
        <w:rPr>
          <w:rFonts w:ascii="宋体"/>
          <w:b/>
          <w:color w:val="auto"/>
          <w:sz w:val="52"/>
          <w:szCs w:val="52"/>
        </w:rPr>
      </w:pPr>
      <w:r>
        <w:rPr>
          <w:rFonts w:hint="eastAsia" w:ascii="宋体"/>
          <w:b/>
          <w:color w:val="auto"/>
          <w:sz w:val="52"/>
          <w:szCs w:val="52"/>
        </w:rPr>
        <w:t>江苏第二师范学院招标采购文件</w:t>
      </w:r>
    </w:p>
    <w:p>
      <w:pPr>
        <w:topLinePunct/>
        <w:snapToGrid w:val="0"/>
        <w:spacing w:line="360" w:lineRule="auto"/>
        <w:rPr>
          <w:rFonts w:ascii="黑体" w:eastAsia="黑体"/>
          <w:b/>
          <w:color w:val="auto"/>
          <w:sz w:val="36"/>
          <w:szCs w:val="36"/>
        </w:rPr>
      </w:pPr>
    </w:p>
    <w:p>
      <w:pPr>
        <w:topLinePunct/>
        <w:snapToGrid w:val="0"/>
        <w:spacing w:line="360" w:lineRule="auto"/>
        <w:rPr>
          <w:rFonts w:ascii="黑体" w:hAnsi="宋体" w:eastAsia="黑体"/>
          <w:b/>
          <w:color w:val="auto"/>
          <w:sz w:val="36"/>
          <w:szCs w:val="36"/>
        </w:rPr>
      </w:pPr>
    </w:p>
    <w:p>
      <w:pPr>
        <w:topLinePunct/>
        <w:snapToGrid w:val="0"/>
        <w:spacing w:line="360" w:lineRule="auto"/>
        <w:ind w:firstLine="720" w:firstLineChars="200"/>
        <w:rPr>
          <w:rFonts w:ascii="黑体" w:eastAsia="黑体"/>
          <w:color w:val="auto"/>
          <w:sz w:val="36"/>
          <w:szCs w:val="36"/>
        </w:rPr>
      </w:pPr>
    </w:p>
    <w:p>
      <w:pPr>
        <w:topLinePunct/>
        <w:spacing w:line="360" w:lineRule="auto"/>
        <w:ind w:firstLine="643" w:firstLineChars="200"/>
        <w:rPr>
          <w:rFonts w:ascii="黑体" w:eastAsia="黑体"/>
          <w:b/>
          <w:color w:val="auto"/>
          <w:sz w:val="32"/>
          <w:szCs w:val="32"/>
        </w:rPr>
      </w:pPr>
    </w:p>
    <w:p>
      <w:pPr>
        <w:topLinePunct/>
        <w:spacing w:line="360" w:lineRule="auto"/>
        <w:ind w:firstLine="643" w:firstLineChars="200"/>
        <w:rPr>
          <w:rFonts w:ascii="黑体" w:eastAsia="黑体"/>
          <w:b/>
          <w:color w:val="auto"/>
          <w:sz w:val="32"/>
          <w:szCs w:val="32"/>
        </w:rPr>
      </w:pPr>
    </w:p>
    <w:p>
      <w:pPr>
        <w:topLinePunct/>
        <w:spacing w:line="360" w:lineRule="auto"/>
        <w:ind w:firstLine="643" w:firstLineChars="200"/>
        <w:rPr>
          <w:rFonts w:ascii="黑体" w:eastAsia="黑体"/>
          <w:b/>
          <w:color w:val="auto"/>
          <w:sz w:val="32"/>
          <w:szCs w:val="32"/>
        </w:rPr>
      </w:pPr>
    </w:p>
    <w:p>
      <w:pPr>
        <w:topLinePunct/>
        <w:spacing w:line="360" w:lineRule="auto"/>
        <w:ind w:firstLine="643" w:firstLineChars="200"/>
        <w:rPr>
          <w:rFonts w:ascii="黑体" w:eastAsia="黑体"/>
          <w:b/>
          <w:color w:val="auto"/>
          <w:sz w:val="32"/>
          <w:szCs w:val="32"/>
        </w:rPr>
      </w:pPr>
    </w:p>
    <w:p>
      <w:pPr>
        <w:topLinePunct/>
        <w:spacing w:line="360" w:lineRule="auto"/>
        <w:ind w:firstLine="643" w:firstLineChars="200"/>
        <w:rPr>
          <w:rFonts w:ascii="黑体" w:eastAsia="黑体"/>
          <w:b/>
          <w:color w:val="auto"/>
          <w:sz w:val="32"/>
          <w:szCs w:val="32"/>
        </w:rPr>
      </w:pPr>
      <w:r>
        <w:rPr>
          <w:rFonts w:hint="eastAsia" w:ascii="黑体" w:eastAsia="黑体"/>
          <w:b/>
          <w:color w:val="auto"/>
          <w:sz w:val="32"/>
          <w:szCs w:val="32"/>
        </w:rPr>
        <w:t>项目编号：JY2019C108</w:t>
      </w:r>
    </w:p>
    <w:p>
      <w:pPr>
        <w:topLinePunct/>
        <w:spacing w:line="360" w:lineRule="auto"/>
        <w:ind w:firstLine="643" w:firstLineChars="200"/>
        <w:rPr>
          <w:rFonts w:ascii="黑体" w:eastAsia="黑体"/>
          <w:b/>
          <w:color w:val="auto"/>
          <w:sz w:val="32"/>
          <w:szCs w:val="32"/>
        </w:rPr>
      </w:pPr>
    </w:p>
    <w:p>
      <w:pPr>
        <w:pStyle w:val="10"/>
        <w:spacing w:line="400" w:lineRule="exact"/>
        <w:ind w:firstLine="643" w:firstLineChars="200"/>
        <w:rPr>
          <w:rFonts w:ascii="黑体" w:eastAsia="黑体"/>
          <w:b/>
          <w:color w:val="auto"/>
          <w:sz w:val="32"/>
          <w:szCs w:val="32"/>
        </w:rPr>
      </w:pPr>
      <w:r>
        <w:rPr>
          <w:rFonts w:hint="eastAsia" w:ascii="黑体" w:eastAsia="黑体"/>
          <w:b/>
          <w:color w:val="auto"/>
          <w:sz w:val="32"/>
          <w:szCs w:val="32"/>
        </w:rPr>
        <w:t>项目名称：在线开放课程和微课建设</w:t>
      </w:r>
    </w:p>
    <w:p>
      <w:pPr>
        <w:ind w:firstLine="1807" w:firstLineChars="500"/>
        <w:rPr>
          <w:rFonts w:ascii="黑体" w:hAnsi="宋体" w:eastAsia="黑体"/>
          <w:b/>
          <w:color w:val="auto"/>
          <w:sz w:val="36"/>
          <w:szCs w:val="36"/>
        </w:rPr>
      </w:pPr>
    </w:p>
    <w:p>
      <w:pPr>
        <w:ind w:firstLine="1807" w:firstLineChars="500"/>
        <w:rPr>
          <w:rFonts w:ascii="黑体" w:hAnsi="宋体" w:eastAsia="黑体"/>
          <w:b/>
          <w:color w:val="auto"/>
          <w:sz w:val="36"/>
          <w:szCs w:val="36"/>
        </w:rPr>
      </w:pPr>
    </w:p>
    <w:p>
      <w:pPr>
        <w:rPr>
          <w:rFonts w:ascii="黑体" w:hAnsi="宋体" w:eastAsia="黑体"/>
          <w:b/>
          <w:color w:val="auto"/>
          <w:sz w:val="36"/>
          <w:szCs w:val="36"/>
        </w:rPr>
      </w:pPr>
    </w:p>
    <w:p>
      <w:pPr>
        <w:ind w:firstLine="2393" w:firstLineChars="745"/>
        <w:rPr>
          <w:rFonts w:ascii="仿宋_GB2312" w:hAnsi="宋体" w:eastAsia="仿宋_GB2312"/>
          <w:b/>
          <w:color w:val="auto"/>
          <w:sz w:val="32"/>
          <w:szCs w:val="32"/>
        </w:rPr>
      </w:pPr>
    </w:p>
    <w:p>
      <w:pPr>
        <w:jc w:val="center"/>
        <w:rPr>
          <w:rFonts w:ascii="仿宋_GB2312" w:hAnsi="宋体" w:eastAsia="仿宋_GB2312"/>
          <w:b/>
          <w:color w:val="auto"/>
          <w:sz w:val="32"/>
          <w:szCs w:val="32"/>
        </w:rPr>
      </w:pPr>
      <w:r>
        <w:rPr>
          <w:rFonts w:hint="eastAsia" w:ascii="仿宋_GB2312" w:hAnsi="宋体" w:eastAsia="仿宋_GB2312"/>
          <w:b/>
          <w:color w:val="auto"/>
          <w:sz w:val="32"/>
          <w:szCs w:val="32"/>
        </w:rPr>
        <w:t>江苏第二师范学院国资处（招标办）</w:t>
      </w:r>
    </w:p>
    <w:p>
      <w:pPr>
        <w:topLinePunct/>
        <w:spacing w:line="360" w:lineRule="auto"/>
        <w:jc w:val="center"/>
        <w:rPr>
          <w:rFonts w:ascii="仿宋_GB2312" w:hAnsi="宋体" w:eastAsia="仿宋_GB2312"/>
          <w:b/>
          <w:color w:val="auto"/>
          <w:sz w:val="32"/>
          <w:szCs w:val="32"/>
        </w:rPr>
      </w:pPr>
      <w:r>
        <w:rPr>
          <w:rFonts w:hint="eastAsia" w:ascii="仿宋_GB2312" w:hAnsi="宋体" w:eastAsia="仿宋_GB2312"/>
          <w:b/>
          <w:color w:val="auto"/>
          <w:sz w:val="32"/>
          <w:szCs w:val="32"/>
        </w:rPr>
        <w:t>二</w:t>
      </w:r>
      <w:r>
        <w:rPr>
          <w:rFonts w:hint="eastAsia" w:ascii="仿宋_GB2312" w:hAnsi="宋体" w:eastAsia="黑体"/>
          <w:b/>
          <w:color w:val="auto"/>
          <w:sz w:val="32"/>
          <w:szCs w:val="32"/>
        </w:rPr>
        <w:t>〇</w:t>
      </w:r>
      <w:r>
        <w:rPr>
          <w:rFonts w:hint="eastAsia" w:ascii="仿宋_GB2312" w:hAnsi="宋体" w:eastAsia="仿宋_GB2312"/>
          <w:b/>
          <w:color w:val="auto"/>
          <w:sz w:val="32"/>
          <w:szCs w:val="32"/>
        </w:rPr>
        <w:t>一九年七月</w:t>
      </w:r>
    </w:p>
    <w:p>
      <w:pPr>
        <w:topLinePunct/>
        <w:spacing w:line="360" w:lineRule="auto"/>
        <w:rPr>
          <w:rFonts w:ascii="黑体" w:hAnsi="宋体" w:eastAsia="黑体"/>
          <w:b/>
          <w:color w:val="auto"/>
          <w:sz w:val="36"/>
          <w:szCs w:val="36"/>
        </w:rPr>
      </w:pPr>
    </w:p>
    <w:p>
      <w:pPr>
        <w:spacing w:line="240" w:lineRule="exact"/>
        <w:rPr>
          <w:rFonts w:ascii="仿宋_GB2312" w:eastAsia="仿宋_GB2312"/>
          <w:b/>
          <w:bCs/>
          <w:color w:val="auto"/>
          <w:sz w:val="24"/>
        </w:rPr>
      </w:pPr>
    </w:p>
    <w:p>
      <w:pPr>
        <w:spacing w:line="240" w:lineRule="exact"/>
        <w:rPr>
          <w:rFonts w:ascii="仿宋_GB2312" w:eastAsia="仿宋_GB2312"/>
          <w:b/>
          <w:bCs/>
          <w:color w:val="auto"/>
          <w:sz w:val="24"/>
        </w:rPr>
      </w:pPr>
    </w:p>
    <w:p>
      <w:pPr>
        <w:spacing w:line="280" w:lineRule="exact"/>
        <w:rPr>
          <w:rFonts w:ascii="仿宋_GB2312" w:eastAsia="仿宋_GB2312"/>
          <w:b/>
          <w:bCs/>
          <w:color w:val="auto"/>
          <w:sz w:val="24"/>
        </w:rPr>
      </w:pPr>
    </w:p>
    <w:p>
      <w:pPr>
        <w:spacing w:line="280" w:lineRule="exact"/>
        <w:rPr>
          <w:rFonts w:ascii="仿宋_GB2312" w:eastAsia="仿宋_GB2312"/>
          <w:b/>
          <w:bCs/>
          <w:color w:val="auto"/>
          <w:sz w:val="24"/>
        </w:rPr>
      </w:pPr>
    </w:p>
    <w:p>
      <w:pPr>
        <w:spacing w:line="280" w:lineRule="exact"/>
        <w:rPr>
          <w:rFonts w:ascii="仿宋_GB2312" w:eastAsia="仿宋_GB2312"/>
          <w:b/>
          <w:bCs/>
          <w:color w:val="auto"/>
          <w:sz w:val="24"/>
        </w:rPr>
      </w:pPr>
    </w:p>
    <w:p>
      <w:pPr>
        <w:spacing w:line="280" w:lineRule="exact"/>
        <w:rPr>
          <w:rFonts w:ascii="仿宋_GB2312" w:eastAsia="仿宋_GB2312"/>
          <w:b/>
          <w:bCs/>
          <w:color w:val="auto"/>
          <w:sz w:val="24"/>
        </w:rPr>
      </w:pPr>
    </w:p>
    <w:tbl>
      <w:tblPr>
        <w:tblStyle w:val="12"/>
        <w:tblpPr w:leftFromText="180" w:rightFromText="180" w:vertAnchor="text" w:horzAnchor="margin" w:tblpX="87" w:tblpY="30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882"/>
        <w:gridCol w:w="7"/>
        <w:gridCol w:w="1076"/>
        <w:gridCol w:w="1470"/>
        <w:gridCol w:w="787"/>
        <w:gridCol w:w="452"/>
        <w:gridCol w:w="493"/>
        <w:gridCol w:w="735"/>
        <w:gridCol w:w="735"/>
        <w:gridCol w:w="649"/>
        <w:gridCol w:w="69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trPr>
        <w:tc>
          <w:tcPr>
            <w:tcW w:w="528" w:type="dxa"/>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序号</w:t>
            </w:r>
          </w:p>
        </w:tc>
        <w:tc>
          <w:tcPr>
            <w:tcW w:w="889" w:type="dxa"/>
            <w:gridSpan w:val="2"/>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品名</w:t>
            </w:r>
          </w:p>
        </w:tc>
        <w:tc>
          <w:tcPr>
            <w:tcW w:w="1076" w:type="dxa"/>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规格型号</w:t>
            </w:r>
          </w:p>
        </w:tc>
        <w:tc>
          <w:tcPr>
            <w:tcW w:w="1470" w:type="dxa"/>
            <w:vAlign w:val="center"/>
          </w:tcPr>
          <w:p>
            <w:pPr>
              <w:spacing w:line="280" w:lineRule="exact"/>
              <w:jc w:val="center"/>
              <w:rPr>
                <w:rFonts w:ascii="仿宋_GB2312" w:eastAsia="仿宋_GB2312"/>
                <w:color w:val="auto"/>
                <w:szCs w:val="21"/>
              </w:rPr>
            </w:pPr>
            <w:r>
              <w:rPr>
                <w:rFonts w:hint="eastAsia" w:ascii="仿宋_GB2312" w:eastAsia="仿宋_GB2312"/>
                <w:color w:val="auto"/>
                <w:spacing w:val="16"/>
                <w:szCs w:val="21"/>
              </w:rPr>
              <w:t>技术要求</w:t>
            </w:r>
          </w:p>
        </w:tc>
        <w:tc>
          <w:tcPr>
            <w:tcW w:w="787" w:type="dxa"/>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是否</w:t>
            </w:r>
          </w:p>
          <w:p>
            <w:pPr>
              <w:spacing w:line="280" w:lineRule="exact"/>
              <w:jc w:val="center"/>
              <w:rPr>
                <w:rFonts w:ascii="仿宋_GB2312" w:eastAsia="仿宋_GB2312"/>
                <w:color w:val="auto"/>
                <w:szCs w:val="21"/>
              </w:rPr>
            </w:pPr>
            <w:r>
              <w:rPr>
                <w:rFonts w:hint="eastAsia" w:ascii="仿宋_GB2312" w:eastAsia="仿宋_GB2312"/>
                <w:color w:val="auto"/>
                <w:szCs w:val="21"/>
              </w:rPr>
              <w:t>响应</w:t>
            </w:r>
          </w:p>
        </w:tc>
        <w:tc>
          <w:tcPr>
            <w:tcW w:w="452" w:type="dxa"/>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单</w:t>
            </w:r>
          </w:p>
          <w:p>
            <w:pPr>
              <w:spacing w:line="280" w:lineRule="exact"/>
              <w:jc w:val="center"/>
              <w:rPr>
                <w:rFonts w:ascii="仿宋_GB2312" w:eastAsia="仿宋_GB2312"/>
                <w:color w:val="auto"/>
                <w:szCs w:val="21"/>
              </w:rPr>
            </w:pPr>
            <w:r>
              <w:rPr>
                <w:rFonts w:hint="eastAsia" w:ascii="仿宋_GB2312" w:eastAsia="仿宋_GB2312"/>
                <w:color w:val="auto"/>
                <w:szCs w:val="21"/>
              </w:rPr>
              <w:t>位</w:t>
            </w:r>
          </w:p>
        </w:tc>
        <w:tc>
          <w:tcPr>
            <w:tcW w:w="493" w:type="dxa"/>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数</w:t>
            </w:r>
          </w:p>
          <w:p>
            <w:pPr>
              <w:spacing w:line="280" w:lineRule="exact"/>
              <w:jc w:val="center"/>
              <w:rPr>
                <w:rFonts w:ascii="仿宋_GB2312" w:eastAsia="仿宋_GB2312"/>
                <w:color w:val="auto"/>
                <w:szCs w:val="21"/>
              </w:rPr>
            </w:pPr>
            <w:r>
              <w:rPr>
                <w:rFonts w:hint="eastAsia" w:ascii="仿宋_GB2312" w:eastAsia="仿宋_GB2312"/>
                <w:color w:val="auto"/>
                <w:szCs w:val="21"/>
              </w:rPr>
              <w:t>量</w:t>
            </w:r>
          </w:p>
        </w:tc>
        <w:tc>
          <w:tcPr>
            <w:tcW w:w="735" w:type="dxa"/>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单价</w:t>
            </w:r>
          </w:p>
        </w:tc>
        <w:tc>
          <w:tcPr>
            <w:tcW w:w="735" w:type="dxa"/>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总价</w:t>
            </w:r>
          </w:p>
        </w:tc>
        <w:tc>
          <w:tcPr>
            <w:tcW w:w="649" w:type="dxa"/>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交货</w:t>
            </w:r>
          </w:p>
          <w:p>
            <w:pPr>
              <w:spacing w:line="280" w:lineRule="exact"/>
              <w:jc w:val="center"/>
              <w:rPr>
                <w:rFonts w:ascii="仿宋_GB2312" w:eastAsia="仿宋_GB2312"/>
                <w:color w:val="auto"/>
                <w:szCs w:val="21"/>
              </w:rPr>
            </w:pPr>
            <w:r>
              <w:rPr>
                <w:rFonts w:hint="eastAsia" w:ascii="仿宋_GB2312" w:eastAsia="仿宋_GB2312"/>
                <w:color w:val="auto"/>
                <w:szCs w:val="21"/>
              </w:rPr>
              <w:t>时间</w:t>
            </w:r>
          </w:p>
        </w:tc>
        <w:tc>
          <w:tcPr>
            <w:tcW w:w="690" w:type="dxa"/>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质保期</w:t>
            </w:r>
          </w:p>
        </w:tc>
        <w:tc>
          <w:tcPr>
            <w:tcW w:w="960" w:type="dxa"/>
            <w:vAlign w:val="center"/>
          </w:tcPr>
          <w:p>
            <w:pPr>
              <w:spacing w:line="280" w:lineRule="exact"/>
              <w:jc w:val="center"/>
              <w:rPr>
                <w:rFonts w:ascii="仿宋_GB2312" w:eastAsia="仿宋_GB2312"/>
                <w:color w:val="auto"/>
                <w:szCs w:val="21"/>
              </w:rPr>
            </w:pPr>
            <w:r>
              <w:rPr>
                <w:rFonts w:hint="eastAsia" w:ascii="仿宋_GB2312" w:eastAsia="仿宋_GB2312"/>
                <w:color w:val="auto"/>
                <w:szCs w:val="21"/>
              </w:rPr>
              <w:t>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6" w:hRule="atLeast"/>
        </w:trPr>
        <w:tc>
          <w:tcPr>
            <w:tcW w:w="528" w:type="dxa"/>
            <w:vAlign w:val="center"/>
          </w:tcPr>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r>
              <w:rPr>
                <w:rFonts w:hint="eastAsia" w:ascii="仿宋_GB2312" w:eastAsia="仿宋_GB2312"/>
                <w:color w:val="auto"/>
                <w:sz w:val="24"/>
              </w:rPr>
              <w:t>1</w:t>
            </w:r>
          </w:p>
        </w:tc>
        <w:tc>
          <w:tcPr>
            <w:tcW w:w="889" w:type="dxa"/>
            <w:gridSpan w:val="2"/>
            <w:tcBorders>
              <w:bottom w:val="single" w:color="auto" w:sz="4" w:space="0"/>
            </w:tcBorders>
            <w:vAlign w:val="center"/>
          </w:tcPr>
          <w:p>
            <w:pPr>
              <w:spacing w:line="280" w:lineRule="exact"/>
              <w:rPr>
                <w:rFonts w:ascii="仿宋_GB2312" w:eastAsia="仿宋_GB2312"/>
                <w:color w:val="auto"/>
                <w:szCs w:val="21"/>
              </w:rPr>
            </w:pPr>
            <w:r>
              <w:rPr>
                <w:rFonts w:hint="eastAsia" w:ascii="仿宋_GB2312" w:eastAsia="仿宋_GB2312"/>
                <w:color w:val="auto"/>
                <w:szCs w:val="21"/>
              </w:rPr>
              <w:t>在线开放课程建设</w:t>
            </w:r>
          </w:p>
        </w:tc>
        <w:tc>
          <w:tcPr>
            <w:tcW w:w="2546" w:type="dxa"/>
            <w:gridSpan w:val="2"/>
            <w:vAlign w:val="center"/>
          </w:tcPr>
          <w:p>
            <w:pPr>
              <w:spacing w:line="280" w:lineRule="exact"/>
              <w:rPr>
                <w:rFonts w:ascii="仿宋_GB2312" w:eastAsia="仿宋_GB2312"/>
                <w:color w:val="auto"/>
                <w:szCs w:val="21"/>
              </w:rPr>
            </w:pPr>
            <w:r>
              <w:rPr>
                <w:rFonts w:hint="eastAsia" w:ascii="仿宋_GB2312" w:eastAsia="仿宋_GB2312"/>
                <w:color w:val="auto"/>
                <w:szCs w:val="21"/>
              </w:rPr>
              <w:t>详见《五、技术参数要求》</w:t>
            </w:r>
          </w:p>
        </w:tc>
        <w:tc>
          <w:tcPr>
            <w:tcW w:w="787" w:type="dxa"/>
            <w:tcBorders>
              <w:bottom w:val="single" w:color="auto" w:sz="4" w:space="0"/>
            </w:tcBorders>
            <w:vAlign w:val="center"/>
          </w:tcPr>
          <w:p>
            <w:pPr>
              <w:spacing w:line="280" w:lineRule="exact"/>
              <w:jc w:val="center"/>
              <w:rPr>
                <w:rFonts w:ascii="仿宋_GB2312" w:eastAsia="仿宋_GB2312"/>
                <w:color w:val="auto"/>
                <w:sz w:val="24"/>
              </w:rPr>
            </w:pPr>
          </w:p>
        </w:tc>
        <w:tc>
          <w:tcPr>
            <w:tcW w:w="452" w:type="dxa"/>
            <w:tcBorders>
              <w:bottom w:val="single" w:color="auto" w:sz="4" w:space="0"/>
            </w:tcBorders>
            <w:vAlign w:val="center"/>
          </w:tcPr>
          <w:p>
            <w:pPr>
              <w:spacing w:line="280" w:lineRule="exact"/>
              <w:jc w:val="center"/>
              <w:rPr>
                <w:rFonts w:ascii="仿宋_GB2312" w:eastAsia="仿宋_GB2312"/>
                <w:bCs/>
                <w:color w:val="auto"/>
                <w:sz w:val="24"/>
              </w:rPr>
            </w:pPr>
            <w:r>
              <w:rPr>
                <w:rFonts w:hint="eastAsia" w:ascii="仿宋_GB2312" w:eastAsia="仿宋_GB2312"/>
                <w:bCs/>
                <w:color w:val="auto"/>
                <w:sz w:val="24"/>
              </w:rPr>
              <w:t>门</w:t>
            </w:r>
          </w:p>
        </w:tc>
        <w:tc>
          <w:tcPr>
            <w:tcW w:w="493" w:type="dxa"/>
            <w:tcBorders>
              <w:bottom w:val="single" w:color="auto" w:sz="4" w:space="0"/>
            </w:tcBorders>
            <w:vAlign w:val="center"/>
          </w:tcPr>
          <w:p>
            <w:pPr>
              <w:spacing w:line="280" w:lineRule="exact"/>
              <w:jc w:val="center"/>
              <w:rPr>
                <w:rFonts w:ascii="仿宋_GB2312" w:eastAsia="仿宋_GB2312"/>
                <w:bCs/>
                <w:color w:val="auto"/>
                <w:sz w:val="24"/>
              </w:rPr>
            </w:pPr>
            <w:r>
              <w:rPr>
                <w:rFonts w:ascii="仿宋_GB2312" w:eastAsia="仿宋_GB2312"/>
                <w:bCs/>
                <w:color w:val="auto"/>
                <w:sz w:val="24"/>
              </w:rPr>
              <w:t>5</w:t>
            </w:r>
          </w:p>
        </w:tc>
        <w:tc>
          <w:tcPr>
            <w:tcW w:w="735" w:type="dxa"/>
            <w:tcBorders>
              <w:bottom w:val="single" w:color="auto" w:sz="4" w:space="0"/>
            </w:tcBorders>
            <w:vAlign w:val="center"/>
          </w:tcPr>
          <w:p>
            <w:pPr>
              <w:spacing w:line="280" w:lineRule="exact"/>
              <w:jc w:val="center"/>
              <w:rPr>
                <w:rFonts w:ascii="仿宋_GB2312" w:eastAsia="仿宋_GB2312"/>
                <w:color w:val="auto"/>
                <w:sz w:val="24"/>
              </w:rPr>
            </w:pPr>
          </w:p>
        </w:tc>
        <w:tc>
          <w:tcPr>
            <w:tcW w:w="735" w:type="dxa"/>
            <w:tcBorders>
              <w:bottom w:val="single" w:color="auto" w:sz="4" w:space="0"/>
            </w:tcBorders>
            <w:vAlign w:val="center"/>
          </w:tcPr>
          <w:p>
            <w:pPr>
              <w:spacing w:line="280" w:lineRule="exact"/>
              <w:jc w:val="center"/>
              <w:rPr>
                <w:rFonts w:ascii="仿宋_GB2312" w:eastAsia="仿宋_GB2312"/>
                <w:color w:val="auto"/>
                <w:sz w:val="24"/>
              </w:rPr>
            </w:pPr>
          </w:p>
        </w:tc>
        <w:tc>
          <w:tcPr>
            <w:tcW w:w="649" w:type="dxa"/>
            <w:tcBorders>
              <w:bottom w:val="single" w:color="auto" w:sz="4" w:space="0"/>
            </w:tcBorders>
            <w:vAlign w:val="center"/>
          </w:tcPr>
          <w:p>
            <w:pPr>
              <w:spacing w:line="280" w:lineRule="exact"/>
              <w:jc w:val="center"/>
              <w:rPr>
                <w:rFonts w:ascii="仿宋_GB2312" w:eastAsia="仿宋_GB2312"/>
                <w:color w:val="auto"/>
                <w:sz w:val="24"/>
              </w:rPr>
            </w:pPr>
          </w:p>
        </w:tc>
        <w:tc>
          <w:tcPr>
            <w:tcW w:w="690" w:type="dxa"/>
            <w:tcBorders>
              <w:bottom w:val="single" w:color="auto" w:sz="4" w:space="0"/>
            </w:tcBorders>
            <w:vAlign w:val="center"/>
          </w:tcPr>
          <w:p>
            <w:pPr>
              <w:spacing w:line="280" w:lineRule="exact"/>
              <w:jc w:val="center"/>
              <w:rPr>
                <w:rFonts w:ascii="仿宋_GB2312" w:eastAsia="仿宋_GB2312"/>
                <w:color w:val="auto"/>
                <w:sz w:val="24"/>
              </w:rPr>
            </w:pPr>
          </w:p>
        </w:tc>
        <w:tc>
          <w:tcPr>
            <w:tcW w:w="960" w:type="dxa"/>
            <w:vAlign w:val="center"/>
          </w:tcPr>
          <w:p>
            <w:pPr>
              <w:spacing w:line="280" w:lineRule="exact"/>
              <w:ind w:right="-2" w:rightChars="-1"/>
              <w:jc w:val="center"/>
              <w:rPr>
                <w:rFonts w:ascii="仿宋_GB2312" w:eastAsia="仿宋_GB2312"/>
                <w:color w:val="auto"/>
                <w:szCs w:val="21"/>
              </w:rPr>
            </w:pPr>
            <w:r>
              <w:rPr>
                <w:rFonts w:hint="eastAsia" w:ascii="仿宋_GB2312" w:eastAsia="仿宋_GB2312"/>
                <w:color w:val="auto"/>
                <w:szCs w:val="21"/>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6" w:hRule="atLeast"/>
        </w:trPr>
        <w:tc>
          <w:tcPr>
            <w:tcW w:w="528" w:type="dxa"/>
            <w:vAlign w:val="center"/>
          </w:tcPr>
          <w:p>
            <w:pPr>
              <w:spacing w:line="280" w:lineRule="exact"/>
              <w:jc w:val="center"/>
              <w:rPr>
                <w:rFonts w:ascii="仿宋_GB2312" w:eastAsia="仿宋_GB2312"/>
                <w:color w:val="auto"/>
                <w:sz w:val="24"/>
              </w:rPr>
            </w:pPr>
            <w:r>
              <w:rPr>
                <w:rFonts w:hint="eastAsia" w:ascii="仿宋_GB2312" w:eastAsia="仿宋_GB2312"/>
                <w:color w:val="auto"/>
                <w:sz w:val="24"/>
              </w:rPr>
              <w:t>2</w:t>
            </w:r>
          </w:p>
        </w:tc>
        <w:tc>
          <w:tcPr>
            <w:tcW w:w="889" w:type="dxa"/>
            <w:gridSpan w:val="2"/>
            <w:tcBorders>
              <w:bottom w:val="single" w:color="auto" w:sz="4" w:space="0"/>
            </w:tcBorders>
            <w:vAlign w:val="center"/>
          </w:tcPr>
          <w:p>
            <w:pPr>
              <w:spacing w:line="280" w:lineRule="exact"/>
              <w:rPr>
                <w:rFonts w:ascii="仿宋_GB2312" w:eastAsia="仿宋_GB2312"/>
                <w:color w:val="auto"/>
                <w:szCs w:val="21"/>
              </w:rPr>
            </w:pPr>
            <w:r>
              <w:rPr>
                <w:rFonts w:hint="eastAsia" w:ascii="仿宋_GB2312" w:eastAsia="仿宋_GB2312"/>
                <w:color w:val="auto"/>
                <w:szCs w:val="21"/>
              </w:rPr>
              <w:t>微课建设</w:t>
            </w:r>
          </w:p>
        </w:tc>
        <w:tc>
          <w:tcPr>
            <w:tcW w:w="2546" w:type="dxa"/>
            <w:gridSpan w:val="2"/>
            <w:vAlign w:val="center"/>
          </w:tcPr>
          <w:p>
            <w:pPr>
              <w:spacing w:line="280" w:lineRule="exact"/>
              <w:rPr>
                <w:rFonts w:ascii="仿宋_GB2312" w:eastAsia="仿宋_GB2312"/>
                <w:color w:val="auto"/>
                <w:szCs w:val="21"/>
              </w:rPr>
            </w:pPr>
            <w:r>
              <w:rPr>
                <w:rFonts w:hint="eastAsia" w:ascii="仿宋_GB2312" w:eastAsia="仿宋_GB2312"/>
                <w:color w:val="auto"/>
                <w:szCs w:val="21"/>
              </w:rPr>
              <w:t>详见《五、技术参数要求》</w:t>
            </w:r>
          </w:p>
        </w:tc>
        <w:tc>
          <w:tcPr>
            <w:tcW w:w="787" w:type="dxa"/>
            <w:tcBorders>
              <w:bottom w:val="single" w:color="auto" w:sz="4" w:space="0"/>
            </w:tcBorders>
            <w:vAlign w:val="center"/>
          </w:tcPr>
          <w:p>
            <w:pPr>
              <w:spacing w:line="280" w:lineRule="exact"/>
              <w:jc w:val="center"/>
              <w:rPr>
                <w:rFonts w:ascii="仿宋_GB2312" w:eastAsia="仿宋_GB2312"/>
                <w:color w:val="auto"/>
                <w:sz w:val="24"/>
              </w:rPr>
            </w:pPr>
          </w:p>
        </w:tc>
        <w:tc>
          <w:tcPr>
            <w:tcW w:w="452" w:type="dxa"/>
            <w:tcBorders>
              <w:bottom w:val="single" w:color="auto" w:sz="4" w:space="0"/>
            </w:tcBorders>
            <w:vAlign w:val="center"/>
          </w:tcPr>
          <w:p>
            <w:pPr>
              <w:spacing w:line="280" w:lineRule="exact"/>
              <w:jc w:val="center"/>
              <w:rPr>
                <w:rFonts w:ascii="仿宋_GB2312" w:eastAsia="仿宋_GB2312"/>
                <w:bCs/>
                <w:color w:val="auto"/>
                <w:sz w:val="24"/>
              </w:rPr>
            </w:pPr>
            <w:r>
              <w:rPr>
                <w:rFonts w:hint="eastAsia" w:ascii="仿宋_GB2312" w:eastAsia="仿宋_GB2312"/>
                <w:bCs/>
                <w:color w:val="auto"/>
                <w:sz w:val="24"/>
              </w:rPr>
              <w:t>门</w:t>
            </w:r>
          </w:p>
        </w:tc>
        <w:tc>
          <w:tcPr>
            <w:tcW w:w="493" w:type="dxa"/>
            <w:tcBorders>
              <w:bottom w:val="single" w:color="auto" w:sz="4" w:space="0"/>
            </w:tcBorders>
            <w:vAlign w:val="center"/>
          </w:tcPr>
          <w:p>
            <w:pPr>
              <w:spacing w:line="280" w:lineRule="exact"/>
              <w:jc w:val="center"/>
              <w:rPr>
                <w:rFonts w:ascii="仿宋_GB2312" w:eastAsia="仿宋_GB2312"/>
                <w:bCs/>
                <w:color w:val="auto"/>
                <w:sz w:val="24"/>
              </w:rPr>
            </w:pPr>
            <w:r>
              <w:rPr>
                <w:rFonts w:ascii="仿宋_GB2312" w:eastAsia="仿宋_GB2312"/>
                <w:bCs/>
                <w:color w:val="auto"/>
                <w:sz w:val="24"/>
              </w:rPr>
              <w:t>25</w:t>
            </w:r>
          </w:p>
        </w:tc>
        <w:tc>
          <w:tcPr>
            <w:tcW w:w="735" w:type="dxa"/>
            <w:tcBorders>
              <w:bottom w:val="single" w:color="auto" w:sz="4" w:space="0"/>
            </w:tcBorders>
            <w:vAlign w:val="center"/>
          </w:tcPr>
          <w:p>
            <w:pPr>
              <w:spacing w:line="280" w:lineRule="exact"/>
              <w:jc w:val="center"/>
              <w:rPr>
                <w:rFonts w:ascii="仿宋_GB2312" w:eastAsia="仿宋_GB2312"/>
                <w:color w:val="auto"/>
                <w:sz w:val="24"/>
              </w:rPr>
            </w:pPr>
          </w:p>
        </w:tc>
        <w:tc>
          <w:tcPr>
            <w:tcW w:w="735" w:type="dxa"/>
            <w:tcBorders>
              <w:bottom w:val="single" w:color="auto" w:sz="4" w:space="0"/>
            </w:tcBorders>
            <w:vAlign w:val="center"/>
          </w:tcPr>
          <w:p>
            <w:pPr>
              <w:spacing w:line="280" w:lineRule="exact"/>
              <w:jc w:val="center"/>
              <w:rPr>
                <w:rFonts w:ascii="仿宋_GB2312" w:eastAsia="仿宋_GB2312"/>
                <w:color w:val="auto"/>
                <w:sz w:val="24"/>
              </w:rPr>
            </w:pPr>
          </w:p>
        </w:tc>
        <w:tc>
          <w:tcPr>
            <w:tcW w:w="649" w:type="dxa"/>
            <w:tcBorders>
              <w:bottom w:val="single" w:color="auto" w:sz="4" w:space="0"/>
            </w:tcBorders>
            <w:vAlign w:val="center"/>
          </w:tcPr>
          <w:p>
            <w:pPr>
              <w:spacing w:line="280" w:lineRule="exact"/>
              <w:jc w:val="center"/>
              <w:rPr>
                <w:rFonts w:ascii="仿宋_GB2312" w:eastAsia="仿宋_GB2312"/>
                <w:color w:val="auto"/>
                <w:sz w:val="24"/>
              </w:rPr>
            </w:pPr>
          </w:p>
        </w:tc>
        <w:tc>
          <w:tcPr>
            <w:tcW w:w="690" w:type="dxa"/>
            <w:tcBorders>
              <w:bottom w:val="single" w:color="auto" w:sz="4" w:space="0"/>
            </w:tcBorders>
            <w:vAlign w:val="center"/>
          </w:tcPr>
          <w:p>
            <w:pPr>
              <w:spacing w:line="280" w:lineRule="exact"/>
              <w:jc w:val="center"/>
              <w:rPr>
                <w:rFonts w:ascii="仿宋_GB2312" w:eastAsia="仿宋_GB2312"/>
                <w:color w:val="auto"/>
                <w:sz w:val="24"/>
              </w:rPr>
            </w:pPr>
          </w:p>
        </w:tc>
        <w:tc>
          <w:tcPr>
            <w:tcW w:w="960" w:type="dxa"/>
            <w:vAlign w:val="center"/>
          </w:tcPr>
          <w:p>
            <w:pPr>
              <w:spacing w:line="280" w:lineRule="exact"/>
              <w:ind w:right="-2" w:rightChars="-1"/>
              <w:jc w:val="center"/>
              <w:rPr>
                <w:rFonts w:ascii="仿宋_GB2312" w:eastAsia="仿宋_GB2312"/>
                <w:color w:val="auto"/>
                <w:szCs w:val="21"/>
              </w:rPr>
            </w:pPr>
            <w:r>
              <w:rPr>
                <w:rFonts w:hint="eastAsia" w:ascii="仿宋_GB2312" w:eastAsia="仿宋_GB2312"/>
                <w:color w:val="auto"/>
                <w:szCs w:val="21"/>
              </w:rPr>
              <w:t>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410" w:type="dxa"/>
            <w:gridSpan w:val="2"/>
            <w:vAlign w:val="center"/>
          </w:tcPr>
          <w:p>
            <w:pPr>
              <w:widowControl/>
              <w:spacing w:line="280" w:lineRule="exact"/>
              <w:ind w:right="172" w:rightChars="82"/>
              <w:rPr>
                <w:rFonts w:ascii="仿宋_GB2312" w:eastAsia="仿宋_GB2312"/>
                <w:b/>
                <w:color w:val="auto"/>
                <w:sz w:val="24"/>
              </w:rPr>
            </w:pPr>
            <w:r>
              <w:rPr>
                <w:rFonts w:hint="eastAsia" w:ascii="仿宋_GB2312" w:eastAsia="仿宋_GB2312"/>
                <w:b/>
                <w:color w:val="auto"/>
                <w:sz w:val="24"/>
              </w:rPr>
              <w:t>报价合计</w:t>
            </w:r>
          </w:p>
        </w:tc>
        <w:tc>
          <w:tcPr>
            <w:tcW w:w="8054" w:type="dxa"/>
            <w:gridSpan w:val="11"/>
            <w:vAlign w:val="center"/>
          </w:tcPr>
          <w:p>
            <w:pPr>
              <w:spacing w:line="280" w:lineRule="exact"/>
              <w:ind w:right="172" w:rightChars="82"/>
              <w:rPr>
                <w:rFonts w:ascii="仿宋_GB2312" w:eastAsia="仿宋_GB2312"/>
                <w:b/>
                <w:color w:val="auto"/>
                <w:sz w:val="24"/>
              </w:rPr>
            </w:pPr>
            <w:r>
              <w:rPr>
                <w:rFonts w:hint="eastAsia" w:ascii="仿宋_GB2312" w:eastAsia="仿宋_GB2312"/>
                <w:b/>
                <w:color w:val="auto"/>
                <w:sz w:val="24"/>
              </w:rPr>
              <w:t xml:space="preserve">人民币（大写）: </w:t>
            </w:r>
            <w:r>
              <w:rPr>
                <w:rFonts w:hint="eastAsia" w:ascii="仿宋_GB2312" w:eastAsia="仿宋_GB2312"/>
                <w:b/>
                <w:color w:val="auto"/>
                <w:sz w:val="24"/>
                <w:u w:val="single"/>
              </w:rPr>
              <w:t xml:space="preserve">  </w:t>
            </w:r>
            <w:r>
              <w:rPr>
                <w:rFonts w:hint="eastAsia" w:ascii="仿宋_GB2312" w:eastAsia="仿宋_GB2312"/>
                <w:b/>
                <w:color w:val="auto"/>
                <w:sz w:val="24"/>
              </w:rPr>
              <w:t>佰</w:t>
            </w:r>
            <w:r>
              <w:rPr>
                <w:rFonts w:hint="eastAsia" w:ascii="仿宋_GB2312" w:eastAsia="仿宋_GB2312"/>
                <w:b/>
                <w:color w:val="auto"/>
                <w:sz w:val="24"/>
                <w:u w:val="single"/>
              </w:rPr>
              <w:t xml:space="preserve">   </w:t>
            </w:r>
            <w:r>
              <w:rPr>
                <w:rFonts w:hint="eastAsia" w:ascii="仿宋_GB2312" w:eastAsia="仿宋_GB2312"/>
                <w:b/>
                <w:color w:val="auto"/>
                <w:sz w:val="24"/>
              </w:rPr>
              <w:t>拾</w:t>
            </w:r>
            <w:r>
              <w:rPr>
                <w:rFonts w:hint="eastAsia" w:ascii="仿宋_GB2312" w:eastAsia="仿宋_GB2312"/>
                <w:b/>
                <w:color w:val="auto"/>
                <w:sz w:val="24"/>
                <w:u w:val="single"/>
              </w:rPr>
              <w:t xml:space="preserve">   </w:t>
            </w:r>
            <w:r>
              <w:rPr>
                <w:rFonts w:hint="eastAsia" w:ascii="仿宋_GB2312" w:eastAsia="仿宋_GB2312"/>
                <w:b/>
                <w:color w:val="auto"/>
                <w:sz w:val="24"/>
              </w:rPr>
              <w:t>万</w:t>
            </w:r>
            <w:r>
              <w:rPr>
                <w:rFonts w:hint="eastAsia" w:ascii="仿宋_GB2312" w:eastAsia="仿宋_GB2312"/>
                <w:b/>
                <w:color w:val="auto"/>
                <w:sz w:val="24"/>
                <w:u w:val="single"/>
              </w:rPr>
              <w:t xml:space="preserve">   </w:t>
            </w:r>
            <w:r>
              <w:rPr>
                <w:rFonts w:hint="eastAsia" w:ascii="仿宋_GB2312" w:eastAsia="仿宋_GB2312"/>
                <w:b/>
                <w:color w:val="auto"/>
                <w:sz w:val="24"/>
              </w:rPr>
              <w:t>仟</w:t>
            </w:r>
            <w:r>
              <w:rPr>
                <w:rFonts w:hint="eastAsia" w:ascii="仿宋_GB2312" w:eastAsia="仿宋_GB2312"/>
                <w:b/>
                <w:color w:val="auto"/>
                <w:sz w:val="24"/>
                <w:u w:val="single"/>
              </w:rPr>
              <w:t xml:space="preserve">   </w:t>
            </w:r>
            <w:r>
              <w:rPr>
                <w:rFonts w:hint="eastAsia" w:ascii="仿宋_GB2312" w:eastAsia="仿宋_GB2312"/>
                <w:b/>
                <w:color w:val="auto"/>
                <w:sz w:val="24"/>
              </w:rPr>
              <w:t>佰</w:t>
            </w:r>
            <w:r>
              <w:rPr>
                <w:rFonts w:hint="eastAsia" w:ascii="仿宋_GB2312" w:eastAsia="仿宋_GB2312"/>
                <w:b/>
                <w:color w:val="auto"/>
                <w:sz w:val="24"/>
                <w:u w:val="single"/>
              </w:rPr>
              <w:t xml:space="preserve">   </w:t>
            </w:r>
            <w:r>
              <w:rPr>
                <w:rFonts w:hint="eastAsia" w:ascii="仿宋_GB2312" w:eastAsia="仿宋_GB2312"/>
                <w:b/>
                <w:color w:val="auto"/>
                <w:sz w:val="24"/>
              </w:rPr>
              <w:t>拾</w:t>
            </w:r>
            <w:r>
              <w:rPr>
                <w:rFonts w:hint="eastAsia" w:ascii="仿宋_GB2312" w:eastAsia="仿宋_GB2312"/>
                <w:b/>
                <w:color w:val="auto"/>
                <w:sz w:val="24"/>
                <w:u w:val="single"/>
              </w:rPr>
              <w:t xml:space="preserve">   </w:t>
            </w:r>
            <w:r>
              <w:rPr>
                <w:rFonts w:hint="eastAsia" w:ascii="仿宋_GB2312" w:eastAsia="仿宋_GB2312"/>
                <w:b/>
                <w:color w:val="auto"/>
                <w:sz w:val="24"/>
              </w:rPr>
              <w:t>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464" w:type="dxa"/>
            <w:gridSpan w:val="13"/>
          </w:tcPr>
          <w:p>
            <w:pPr>
              <w:tabs>
                <w:tab w:val="left" w:pos="1050"/>
              </w:tabs>
              <w:spacing w:line="280" w:lineRule="exact"/>
              <w:rPr>
                <w:rFonts w:ascii="仿宋_GB2312" w:hAnsi="新宋体" w:eastAsia="仿宋_GB2312"/>
                <w:b/>
                <w:bCs/>
                <w:color w:val="auto"/>
                <w:sz w:val="24"/>
              </w:rPr>
            </w:pPr>
            <w:r>
              <w:rPr>
                <w:rFonts w:hint="eastAsia" w:ascii="仿宋_GB2312" w:eastAsia="仿宋_GB2312"/>
                <w:b/>
                <w:color w:val="auto"/>
                <w:sz w:val="24"/>
              </w:rPr>
              <w:t>投标单位（公章）：                       授权代表（签字）：</w:t>
            </w:r>
          </w:p>
        </w:tc>
      </w:tr>
    </w:tbl>
    <w:p>
      <w:pPr>
        <w:tabs>
          <w:tab w:val="left" w:pos="1050"/>
        </w:tabs>
        <w:spacing w:line="280" w:lineRule="exact"/>
        <w:rPr>
          <w:rFonts w:ascii="仿宋_GB2312" w:eastAsia="仿宋_GB2312"/>
          <w:color w:val="auto"/>
          <w:sz w:val="24"/>
        </w:rPr>
      </w:pPr>
      <w:r>
        <w:rPr>
          <w:rFonts w:hint="eastAsia" w:ascii="仿宋_GB2312" w:hAnsi="新宋体" w:eastAsia="仿宋_GB2312"/>
          <w:b/>
          <w:bCs/>
          <w:color w:val="auto"/>
          <w:sz w:val="24"/>
        </w:rPr>
        <w:t xml:space="preserve">一、报价一览表                                     </w:t>
      </w:r>
      <w:r>
        <w:rPr>
          <w:rFonts w:hint="eastAsia" w:ascii="仿宋_GB2312" w:eastAsia="仿宋_GB2312"/>
          <w:color w:val="auto"/>
          <w:sz w:val="24"/>
        </w:rPr>
        <w:t>金额单位（人民币）：万元</w:t>
      </w:r>
    </w:p>
    <w:p>
      <w:pPr>
        <w:widowControl/>
        <w:topLinePunct/>
        <w:snapToGrid w:val="0"/>
        <w:spacing w:before="4" w:line="280" w:lineRule="exact"/>
        <w:rPr>
          <w:rFonts w:ascii="仿宋_GB2312" w:eastAsia="仿宋_GB2312"/>
          <w:bCs/>
          <w:color w:val="auto"/>
          <w:sz w:val="24"/>
        </w:rPr>
      </w:pPr>
      <w:r>
        <w:rPr>
          <w:rFonts w:hint="eastAsia" w:ascii="仿宋_GB2312" w:eastAsia="仿宋_GB2312"/>
          <w:b/>
          <w:bCs/>
          <w:color w:val="auto"/>
          <w:sz w:val="24"/>
        </w:rPr>
        <w:t>注:</w:t>
      </w:r>
      <w:r>
        <w:rPr>
          <w:rFonts w:hint="eastAsia" w:ascii="仿宋_GB2312" w:eastAsia="仿宋_GB2312"/>
          <w:bCs/>
          <w:color w:val="auto"/>
          <w:sz w:val="24"/>
        </w:rPr>
        <w:t xml:space="preserve"> （</w:t>
      </w:r>
      <w:r>
        <w:rPr>
          <w:rFonts w:ascii="仿宋_GB2312" w:eastAsia="仿宋_GB2312"/>
          <w:bCs/>
          <w:color w:val="auto"/>
          <w:sz w:val="24"/>
        </w:rPr>
        <w:t>1</w:t>
      </w:r>
      <w:r>
        <w:rPr>
          <w:rFonts w:hint="eastAsia" w:ascii="仿宋_GB2312" w:eastAsia="仿宋_GB2312"/>
          <w:bCs/>
          <w:color w:val="auto"/>
          <w:sz w:val="24"/>
        </w:rPr>
        <w:t>）报价应包括采购文件所规定的施工范围（包括设备、附件及辅材、运输、包装、装卸、安装、调试、人员、保险、税金、集成、培训等所有费用）的全部内容。</w:t>
      </w:r>
    </w:p>
    <w:p>
      <w:pPr>
        <w:widowControl/>
        <w:tabs>
          <w:tab w:val="left" w:pos="360"/>
        </w:tabs>
        <w:snapToGrid w:val="0"/>
        <w:spacing w:before="67" w:line="280" w:lineRule="exact"/>
        <w:ind w:firstLine="240" w:firstLineChars="100"/>
        <w:rPr>
          <w:rFonts w:ascii="仿宋_GB2312" w:eastAsia="仿宋_GB2312"/>
          <w:bCs/>
          <w:color w:val="auto"/>
          <w:sz w:val="24"/>
        </w:rPr>
      </w:pPr>
      <w:r>
        <w:rPr>
          <w:rFonts w:hint="eastAsia" w:ascii="仿宋_GB2312" w:eastAsia="仿宋_GB2312"/>
          <w:bCs/>
          <w:color w:val="auto"/>
          <w:sz w:val="24"/>
        </w:rPr>
        <w:t>（2）</w:t>
      </w:r>
      <w:r>
        <w:rPr>
          <w:rFonts w:hint="eastAsia" w:ascii="仿宋_GB2312" w:eastAsia="仿宋_GB2312"/>
          <w:bCs/>
          <w:color w:val="auto"/>
          <w:sz w:val="24"/>
          <w:u w:val="single"/>
        </w:rPr>
        <w:t>报价一览表格式及内容不得自行改动。</w:t>
      </w:r>
    </w:p>
    <w:p>
      <w:pPr>
        <w:spacing w:line="280" w:lineRule="exact"/>
        <w:rPr>
          <w:rFonts w:ascii="仿宋_GB2312" w:eastAsia="仿宋_GB2312"/>
          <w:color w:val="auto"/>
          <w:sz w:val="24"/>
        </w:rPr>
      </w:pPr>
    </w:p>
    <w:p>
      <w:pPr>
        <w:spacing w:line="280" w:lineRule="exact"/>
        <w:rPr>
          <w:rFonts w:ascii="仿宋_GB2312" w:hAnsi="新宋体" w:eastAsia="仿宋_GB2312"/>
          <w:b/>
          <w:bCs/>
          <w:color w:val="auto"/>
          <w:sz w:val="24"/>
        </w:rPr>
      </w:pPr>
      <w:r>
        <w:rPr>
          <w:rFonts w:hint="eastAsia" w:ascii="仿宋_GB2312" w:hAnsi="新宋体" w:eastAsia="仿宋_GB2312"/>
          <w:b/>
          <w:bCs/>
          <w:color w:val="auto"/>
          <w:sz w:val="24"/>
        </w:rPr>
        <w:t>二、报价明细表</w:t>
      </w:r>
    </w:p>
    <w:tbl>
      <w:tblPr>
        <w:tblStyle w:val="12"/>
        <w:tblpPr w:leftFromText="180" w:rightFromText="180" w:vertAnchor="text" w:horzAnchor="margin" w:tblpY="510"/>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2302"/>
        <w:gridCol w:w="958"/>
        <w:gridCol w:w="1276"/>
        <w:gridCol w:w="567"/>
        <w:gridCol w:w="803"/>
        <w:gridCol w:w="1323"/>
        <w:gridCol w:w="851"/>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392" w:type="dxa"/>
          </w:tcPr>
          <w:p>
            <w:pPr>
              <w:spacing w:line="280" w:lineRule="exact"/>
              <w:rPr>
                <w:rFonts w:ascii="仿宋_GB2312" w:eastAsia="仿宋_GB2312"/>
                <w:color w:val="auto"/>
                <w:szCs w:val="21"/>
              </w:rPr>
            </w:pPr>
            <w:r>
              <w:rPr>
                <w:rFonts w:hint="eastAsia" w:ascii="仿宋_GB2312" w:eastAsia="仿宋_GB2312"/>
                <w:color w:val="auto"/>
                <w:szCs w:val="21"/>
              </w:rPr>
              <w:t>序号</w:t>
            </w:r>
          </w:p>
        </w:tc>
        <w:tc>
          <w:tcPr>
            <w:tcW w:w="2302" w:type="dxa"/>
          </w:tcPr>
          <w:p>
            <w:pPr>
              <w:spacing w:line="280" w:lineRule="exact"/>
              <w:ind w:firstLine="315" w:firstLineChars="150"/>
              <w:rPr>
                <w:rFonts w:ascii="仿宋_GB2312" w:eastAsia="仿宋_GB2312"/>
                <w:color w:val="auto"/>
                <w:szCs w:val="21"/>
              </w:rPr>
            </w:pPr>
            <w:r>
              <w:rPr>
                <w:rFonts w:hint="eastAsia" w:ascii="仿宋_GB2312" w:eastAsia="仿宋_GB2312"/>
                <w:color w:val="auto"/>
                <w:szCs w:val="21"/>
              </w:rPr>
              <w:t>名称</w:t>
            </w:r>
          </w:p>
        </w:tc>
        <w:tc>
          <w:tcPr>
            <w:tcW w:w="958" w:type="dxa"/>
          </w:tcPr>
          <w:p>
            <w:pPr>
              <w:spacing w:line="280" w:lineRule="exact"/>
              <w:rPr>
                <w:rFonts w:ascii="仿宋_GB2312" w:eastAsia="仿宋_GB2312"/>
                <w:color w:val="auto"/>
                <w:szCs w:val="21"/>
              </w:rPr>
            </w:pPr>
            <w:r>
              <w:rPr>
                <w:rFonts w:hint="eastAsia" w:ascii="仿宋_GB2312" w:eastAsia="仿宋_GB2312"/>
                <w:color w:val="auto"/>
                <w:szCs w:val="21"/>
              </w:rPr>
              <w:t>规格型号</w:t>
            </w:r>
          </w:p>
        </w:tc>
        <w:tc>
          <w:tcPr>
            <w:tcW w:w="1276" w:type="dxa"/>
          </w:tcPr>
          <w:p>
            <w:pPr>
              <w:spacing w:line="280" w:lineRule="exact"/>
              <w:rPr>
                <w:rFonts w:ascii="仿宋_GB2312" w:eastAsia="仿宋_GB2312"/>
                <w:color w:val="auto"/>
                <w:szCs w:val="21"/>
              </w:rPr>
            </w:pPr>
            <w:r>
              <w:rPr>
                <w:rFonts w:hint="eastAsia" w:ascii="仿宋_GB2312" w:eastAsia="仿宋_GB2312"/>
                <w:color w:val="auto"/>
                <w:szCs w:val="21"/>
              </w:rPr>
              <w:t>品牌或厂商</w:t>
            </w:r>
          </w:p>
        </w:tc>
        <w:tc>
          <w:tcPr>
            <w:tcW w:w="567" w:type="dxa"/>
          </w:tcPr>
          <w:p>
            <w:pPr>
              <w:spacing w:line="280" w:lineRule="exact"/>
              <w:rPr>
                <w:rFonts w:ascii="仿宋_GB2312" w:eastAsia="仿宋_GB2312"/>
                <w:color w:val="auto"/>
                <w:szCs w:val="21"/>
              </w:rPr>
            </w:pPr>
            <w:r>
              <w:rPr>
                <w:rFonts w:hint="eastAsia" w:ascii="仿宋_GB2312" w:eastAsia="仿宋_GB2312"/>
                <w:color w:val="auto"/>
                <w:szCs w:val="21"/>
              </w:rPr>
              <w:t>数量</w:t>
            </w:r>
          </w:p>
        </w:tc>
        <w:tc>
          <w:tcPr>
            <w:tcW w:w="803" w:type="dxa"/>
          </w:tcPr>
          <w:p>
            <w:pPr>
              <w:spacing w:line="280" w:lineRule="exact"/>
              <w:rPr>
                <w:rFonts w:ascii="仿宋_GB2312" w:eastAsia="仿宋_GB2312"/>
                <w:color w:val="auto"/>
                <w:szCs w:val="21"/>
              </w:rPr>
            </w:pPr>
            <w:r>
              <w:rPr>
                <w:rFonts w:hint="eastAsia" w:ascii="仿宋_GB2312" w:eastAsia="仿宋_GB2312"/>
                <w:color w:val="auto"/>
                <w:szCs w:val="21"/>
              </w:rPr>
              <w:t>单价（元）</w:t>
            </w:r>
          </w:p>
        </w:tc>
        <w:tc>
          <w:tcPr>
            <w:tcW w:w="1323" w:type="dxa"/>
          </w:tcPr>
          <w:p>
            <w:pPr>
              <w:spacing w:line="280" w:lineRule="exact"/>
              <w:rPr>
                <w:rFonts w:ascii="仿宋_GB2312" w:eastAsia="仿宋_GB2312"/>
                <w:color w:val="auto"/>
                <w:szCs w:val="21"/>
              </w:rPr>
            </w:pPr>
            <w:r>
              <w:rPr>
                <w:rFonts w:hint="eastAsia" w:ascii="仿宋_GB2312" w:eastAsia="仿宋_GB2312"/>
                <w:color w:val="auto"/>
                <w:szCs w:val="21"/>
              </w:rPr>
              <w:t>总价（元）</w:t>
            </w:r>
          </w:p>
        </w:tc>
        <w:tc>
          <w:tcPr>
            <w:tcW w:w="851" w:type="dxa"/>
          </w:tcPr>
          <w:p>
            <w:pPr>
              <w:spacing w:line="280" w:lineRule="exact"/>
              <w:rPr>
                <w:rFonts w:ascii="仿宋_GB2312" w:eastAsia="仿宋_GB2312"/>
                <w:color w:val="auto"/>
                <w:szCs w:val="21"/>
              </w:rPr>
            </w:pPr>
            <w:r>
              <w:rPr>
                <w:rFonts w:hint="eastAsia" w:ascii="仿宋_GB2312" w:eastAsia="仿宋_GB2312"/>
                <w:color w:val="auto"/>
                <w:szCs w:val="21"/>
              </w:rPr>
              <w:t>交货期</w:t>
            </w:r>
          </w:p>
        </w:tc>
        <w:tc>
          <w:tcPr>
            <w:tcW w:w="661" w:type="dxa"/>
          </w:tcPr>
          <w:p>
            <w:pPr>
              <w:spacing w:line="280" w:lineRule="exact"/>
              <w:ind w:right="311" w:rightChars="148"/>
              <w:rPr>
                <w:rFonts w:ascii="仿宋_GB2312" w:eastAsia="仿宋_GB2312"/>
                <w:color w:val="auto"/>
                <w:szCs w:val="21"/>
              </w:rPr>
            </w:pPr>
            <w:r>
              <w:rPr>
                <w:rFonts w:hint="eastAsia" w:ascii="仿宋_GB2312" w:eastAsia="仿宋_GB2312"/>
                <w:color w:val="auto"/>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392" w:type="dxa"/>
          </w:tcPr>
          <w:p>
            <w:pPr>
              <w:spacing w:line="280" w:lineRule="exact"/>
              <w:rPr>
                <w:rFonts w:ascii="仿宋_GB2312" w:eastAsia="仿宋_GB2312"/>
                <w:color w:val="auto"/>
                <w:szCs w:val="21"/>
              </w:rPr>
            </w:pPr>
            <w:r>
              <w:rPr>
                <w:rFonts w:hint="eastAsia" w:ascii="仿宋_GB2312" w:eastAsia="仿宋_GB2312"/>
                <w:color w:val="auto"/>
                <w:szCs w:val="21"/>
              </w:rPr>
              <w:t>1</w:t>
            </w:r>
          </w:p>
        </w:tc>
        <w:tc>
          <w:tcPr>
            <w:tcW w:w="2302" w:type="dxa"/>
          </w:tcPr>
          <w:p>
            <w:pPr>
              <w:spacing w:line="280" w:lineRule="exact"/>
              <w:rPr>
                <w:rFonts w:ascii="仿宋_GB2312" w:eastAsia="仿宋_GB2312"/>
                <w:color w:val="auto"/>
                <w:szCs w:val="21"/>
              </w:rPr>
            </w:pPr>
          </w:p>
        </w:tc>
        <w:tc>
          <w:tcPr>
            <w:tcW w:w="958" w:type="dxa"/>
          </w:tcPr>
          <w:p>
            <w:pPr>
              <w:spacing w:line="280" w:lineRule="exact"/>
              <w:rPr>
                <w:rFonts w:ascii="仿宋_GB2312" w:eastAsia="仿宋_GB2312"/>
                <w:color w:val="auto"/>
                <w:szCs w:val="21"/>
              </w:rPr>
            </w:pPr>
          </w:p>
        </w:tc>
        <w:tc>
          <w:tcPr>
            <w:tcW w:w="1276" w:type="dxa"/>
          </w:tcPr>
          <w:p>
            <w:pPr>
              <w:spacing w:line="280" w:lineRule="exact"/>
              <w:rPr>
                <w:rFonts w:ascii="仿宋_GB2312" w:eastAsia="仿宋_GB2312"/>
                <w:color w:val="auto"/>
                <w:szCs w:val="21"/>
              </w:rPr>
            </w:pPr>
          </w:p>
        </w:tc>
        <w:tc>
          <w:tcPr>
            <w:tcW w:w="567" w:type="dxa"/>
          </w:tcPr>
          <w:p>
            <w:pPr>
              <w:spacing w:line="280" w:lineRule="exact"/>
              <w:rPr>
                <w:rFonts w:ascii="仿宋_GB2312" w:eastAsia="仿宋_GB2312"/>
                <w:color w:val="auto"/>
                <w:szCs w:val="21"/>
              </w:rPr>
            </w:pPr>
          </w:p>
        </w:tc>
        <w:tc>
          <w:tcPr>
            <w:tcW w:w="803" w:type="dxa"/>
          </w:tcPr>
          <w:p>
            <w:pPr>
              <w:spacing w:line="280" w:lineRule="exact"/>
              <w:rPr>
                <w:rFonts w:ascii="仿宋_GB2312" w:eastAsia="仿宋_GB2312"/>
                <w:color w:val="auto"/>
                <w:szCs w:val="21"/>
              </w:rPr>
            </w:pPr>
          </w:p>
        </w:tc>
        <w:tc>
          <w:tcPr>
            <w:tcW w:w="1323" w:type="dxa"/>
          </w:tcPr>
          <w:p>
            <w:pPr>
              <w:spacing w:line="280" w:lineRule="exact"/>
              <w:rPr>
                <w:rFonts w:ascii="仿宋_GB2312" w:eastAsia="仿宋_GB2312"/>
                <w:color w:val="auto"/>
                <w:szCs w:val="21"/>
              </w:rPr>
            </w:pPr>
          </w:p>
        </w:tc>
        <w:tc>
          <w:tcPr>
            <w:tcW w:w="851" w:type="dxa"/>
          </w:tcPr>
          <w:p>
            <w:pPr>
              <w:spacing w:line="280" w:lineRule="exact"/>
              <w:rPr>
                <w:rFonts w:ascii="仿宋_GB2312" w:eastAsia="仿宋_GB2312"/>
                <w:color w:val="auto"/>
                <w:szCs w:val="21"/>
              </w:rPr>
            </w:pPr>
          </w:p>
        </w:tc>
        <w:tc>
          <w:tcPr>
            <w:tcW w:w="661" w:type="dxa"/>
          </w:tcPr>
          <w:p>
            <w:pPr>
              <w:spacing w:line="280" w:lineRule="exact"/>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392" w:type="dxa"/>
          </w:tcPr>
          <w:p>
            <w:pPr>
              <w:spacing w:line="280" w:lineRule="exact"/>
              <w:rPr>
                <w:rFonts w:ascii="仿宋_GB2312" w:eastAsia="仿宋_GB2312"/>
                <w:color w:val="auto"/>
                <w:szCs w:val="21"/>
              </w:rPr>
            </w:pPr>
            <w:r>
              <w:rPr>
                <w:rFonts w:hint="eastAsia" w:ascii="仿宋_GB2312" w:eastAsia="仿宋_GB2312"/>
                <w:color w:val="auto"/>
                <w:szCs w:val="21"/>
              </w:rPr>
              <w:t>2</w:t>
            </w:r>
          </w:p>
        </w:tc>
        <w:tc>
          <w:tcPr>
            <w:tcW w:w="2302" w:type="dxa"/>
          </w:tcPr>
          <w:p>
            <w:pPr>
              <w:spacing w:line="280" w:lineRule="exact"/>
              <w:rPr>
                <w:rFonts w:ascii="仿宋_GB2312" w:eastAsia="仿宋_GB2312"/>
                <w:color w:val="auto"/>
                <w:szCs w:val="21"/>
              </w:rPr>
            </w:pPr>
          </w:p>
        </w:tc>
        <w:tc>
          <w:tcPr>
            <w:tcW w:w="958" w:type="dxa"/>
          </w:tcPr>
          <w:p>
            <w:pPr>
              <w:spacing w:line="280" w:lineRule="exact"/>
              <w:rPr>
                <w:rFonts w:ascii="仿宋_GB2312" w:eastAsia="仿宋_GB2312"/>
                <w:color w:val="auto"/>
                <w:szCs w:val="21"/>
              </w:rPr>
            </w:pPr>
          </w:p>
        </w:tc>
        <w:tc>
          <w:tcPr>
            <w:tcW w:w="1276" w:type="dxa"/>
          </w:tcPr>
          <w:p>
            <w:pPr>
              <w:spacing w:line="280" w:lineRule="exact"/>
              <w:rPr>
                <w:rFonts w:ascii="仿宋_GB2312" w:eastAsia="仿宋_GB2312"/>
                <w:color w:val="auto"/>
                <w:szCs w:val="21"/>
              </w:rPr>
            </w:pPr>
          </w:p>
        </w:tc>
        <w:tc>
          <w:tcPr>
            <w:tcW w:w="567" w:type="dxa"/>
          </w:tcPr>
          <w:p>
            <w:pPr>
              <w:spacing w:line="280" w:lineRule="exact"/>
              <w:rPr>
                <w:rFonts w:ascii="仿宋_GB2312" w:eastAsia="仿宋_GB2312"/>
                <w:color w:val="auto"/>
                <w:szCs w:val="21"/>
              </w:rPr>
            </w:pPr>
          </w:p>
        </w:tc>
        <w:tc>
          <w:tcPr>
            <w:tcW w:w="803" w:type="dxa"/>
          </w:tcPr>
          <w:p>
            <w:pPr>
              <w:spacing w:line="280" w:lineRule="exact"/>
              <w:rPr>
                <w:rFonts w:ascii="仿宋_GB2312" w:eastAsia="仿宋_GB2312"/>
                <w:color w:val="auto"/>
                <w:szCs w:val="21"/>
              </w:rPr>
            </w:pPr>
          </w:p>
        </w:tc>
        <w:tc>
          <w:tcPr>
            <w:tcW w:w="1323" w:type="dxa"/>
          </w:tcPr>
          <w:p>
            <w:pPr>
              <w:spacing w:line="280" w:lineRule="exact"/>
              <w:rPr>
                <w:rFonts w:ascii="仿宋_GB2312" w:eastAsia="仿宋_GB2312"/>
                <w:color w:val="auto"/>
                <w:szCs w:val="21"/>
              </w:rPr>
            </w:pPr>
          </w:p>
        </w:tc>
        <w:tc>
          <w:tcPr>
            <w:tcW w:w="851" w:type="dxa"/>
          </w:tcPr>
          <w:p>
            <w:pPr>
              <w:spacing w:line="280" w:lineRule="exact"/>
              <w:rPr>
                <w:rFonts w:ascii="仿宋_GB2312" w:eastAsia="仿宋_GB2312"/>
                <w:color w:val="auto"/>
                <w:szCs w:val="21"/>
              </w:rPr>
            </w:pPr>
          </w:p>
        </w:tc>
        <w:tc>
          <w:tcPr>
            <w:tcW w:w="661" w:type="dxa"/>
          </w:tcPr>
          <w:p>
            <w:pPr>
              <w:spacing w:line="280" w:lineRule="exact"/>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392" w:type="dxa"/>
          </w:tcPr>
          <w:p>
            <w:pPr>
              <w:spacing w:line="280" w:lineRule="exact"/>
              <w:rPr>
                <w:rFonts w:ascii="仿宋_GB2312" w:eastAsia="仿宋_GB2312"/>
                <w:color w:val="auto"/>
                <w:szCs w:val="21"/>
              </w:rPr>
            </w:pPr>
            <w:r>
              <w:rPr>
                <w:rFonts w:hint="eastAsia" w:ascii="仿宋_GB2312" w:eastAsia="仿宋_GB2312"/>
                <w:color w:val="auto"/>
                <w:szCs w:val="21"/>
              </w:rPr>
              <w:t>3</w:t>
            </w:r>
          </w:p>
        </w:tc>
        <w:tc>
          <w:tcPr>
            <w:tcW w:w="2302" w:type="dxa"/>
          </w:tcPr>
          <w:p>
            <w:pPr>
              <w:spacing w:line="280" w:lineRule="exact"/>
              <w:rPr>
                <w:rFonts w:ascii="仿宋_GB2312" w:eastAsia="仿宋_GB2312"/>
                <w:color w:val="auto"/>
                <w:szCs w:val="21"/>
              </w:rPr>
            </w:pPr>
          </w:p>
        </w:tc>
        <w:tc>
          <w:tcPr>
            <w:tcW w:w="958" w:type="dxa"/>
          </w:tcPr>
          <w:p>
            <w:pPr>
              <w:spacing w:line="280" w:lineRule="exact"/>
              <w:rPr>
                <w:rFonts w:ascii="仿宋_GB2312" w:eastAsia="仿宋_GB2312"/>
                <w:color w:val="auto"/>
                <w:szCs w:val="21"/>
              </w:rPr>
            </w:pPr>
          </w:p>
        </w:tc>
        <w:tc>
          <w:tcPr>
            <w:tcW w:w="1276" w:type="dxa"/>
          </w:tcPr>
          <w:p>
            <w:pPr>
              <w:spacing w:line="280" w:lineRule="exact"/>
              <w:rPr>
                <w:rFonts w:ascii="仿宋_GB2312" w:eastAsia="仿宋_GB2312"/>
                <w:color w:val="auto"/>
                <w:szCs w:val="21"/>
              </w:rPr>
            </w:pPr>
          </w:p>
        </w:tc>
        <w:tc>
          <w:tcPr>
            <w:tcW w:w="567" w:type="dxa"/>
          </w:tcPr>
          <w:p>
            <w:pPr>
              <w:spacing w:line="280" w:lineRule="exact"/>
              <w:rPr>
                <w:rFonts w:ascii="仿宋_GB2312" w:eastAsia="仿宋_GB2312"/>
                <w:color w:val="auto"/>
                <w:szCs w:val="21"/>
              </w:rPr>
            </w:pPr>
          </w:p>
        </w:tc>
        <w:tc>
          <w:tcPr>
            <w:tcW w:w="803" w:type="dxa"/>
          </w:tcPr>
          <w:p>
            <w:pPr>
              <w:spacing w:line="280" w:lineRule="exact"/>
              <w:rPr>
                <w:rFonts w:ascii="仿宋_GB2312" w:eastAsia="仿宋_GB2312"/>
                <w:color w:val="auto"/>
                <w:szCs w:val="21"/>
              </w:rPr>
            </w:pPr>
          </w:p>
        </w:tc>
        <w:tc>
          <w:tcPr>
            <w:tcW w:w="1323" w:type="dxa"/>
          </w:tcPr>
          <w:p>
            <w:pPr>
              <w:spacing w:line="280" w:lineRule="exact"/>
              <w:rPr>
                <w:rFonts w:ascii="仿宋_GB2312" w:eastAsia="仿宋_GB2312"/>
                <w:color w:val="auto"/>
                <w:szCs w:val="21"/>
              </w:rPr>
            </w:pPr>
          </w:p>
        </w:tc>
        <w:tc>
          <w:tcPr>
            <w:tcW w:w="851" w:type="dxa"/>
          </w:tcPr>
          <w:p>
            <w:pPr>
              <w:spacing w:line="280" w:lineRule="exact"/>
              <w:rPr>
                <w:rFonts w:ascii="仿宋_GB2312" w:eastAsia="仿宋_GB2312"/>
                <w:color w:val="auto"/>
                <w:szCs w:val="21"/>
              </w:rPr>
            </w:pPr>
          </w:p>
        </w:tc>
        <w:tc>
          <w:tcPr>
            <w:tcW w:w="661" w:type="dxa"/>
          </w:tcPr>
          <w:p>
            <w:pPr>
              <w:spacing w:line="280" w:lineRule="exact"/>
              <w:rPr>
                <w:rFonts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392" w:type="dxa"/>
          </w:tcPr>
          <w:p>
            <w:pPr>
              <w:spacing w:line="280" w:lineRule="exact"/>
              <w:rPr>
                <w:rFonts w:ascii="仿宋_GB2312" w:eastAsia="仿宋_GB2312"/>
                <w:color w:val="auto"/>
                <w:szCs w:val="21"/>
              </w:rPr>
            </w:pPr>
            <w:r>
              <w:rPr>
                <w:rFonts w:hint="eastAsia" w:ascii="仿宋_GB2312" w:eastAsia="仿宋_GB2312"/>
                <w:color w:val="auto"/>
                <w:szCs w:val="21"/>
              </w:rPr>
              <w:t>4</w:t>
            </w:r>
          </w:p>
        </w:tc>
        <w:tc>
          <w:tcPr>
            <w:tcW w:w="2302" w:type="dxa"/>
          </w:tcPr>
          <w:p>
            <w:pPr>
              <w:spacing w:line="280" w:lineRule="exact"/>
              <w:rPr>
                <w:rFonts w:ascii="仿宋_GB2312" w:eastAsia="仿宋_GB2312"/>
                <w:color w:val="auto"/>
                <w:szCs w:val="21"/>
              </w:rPr>
            </w:pPr>
          </w:p>
        </w:tc>
        <w:tc>
          <w:tcPr>
            <w:tcW w:w="958" w:type="dxa"/>
          </w:tcPr>
          <w:p>
            <w:pPr>
              <w:spacing w:line="280" w:lineRule="exact"/>
              <w:rPr>
                <w:rFonts w:ascii="仿宋_GB2312" w:eastAsia="仿宋_GB2312"/>
                <w:color w:val="auto"/>
                <w:szCs w:val="21"/>
              </w:rPr>
            </w:pPr>
          </w:p>
        </w:tc>
        <w:tc>
          <w:tcPr>
            <w:tcW w:w="1276" w:type="dxa"/>
          </w:tcPr>
          <w:p>
            <w:pPr>
              <w:spacing w:line="280" w:lineRule="exact"/>
              <w:rPr>
                <w:rFonts w:ascii="仿宋_GB2312" w:eastAsia="仿宋_GB2312"/>
                <w:color w:val="auto"/>
                <w:szCs w:val="21"/>
              </w:rPr>
            </w:pPr>
          </w:p>
        </w:tc>
        <w:tc>
          <w:tcPr>
            <w:tcW w:w="567" w:type="dxa"/>
          </w:tcPr>
          <w:p>
            <w:pPr>
              <w:spacing w:line="280" w:lineRule="exact"/>
              <w:rPr>
                <w:rFonts w:ascii="仿宋_GB2312" w:eastAsia="仿宋_GB2312"/>
                <w:color w:val="auto"/>
                <w:szCs w:val="21"/>
              </w:rPr>
            </w:pPr>
          </w:p>
        </w:tc>
        <w:tc>
          <w:tcPr>
            <w:tcW w:w="803" w:type="dxa"/>
          </w:tcPr>
          <w:p>
            <w:pPr>
              <w:spacing w:line="280" w:lineRule="exact"/>
              <w:rPr>
                <w:rFonts w:ascii="仿宋_GB2312" w:eastAsia="仿宋_GB2312"/>
                <w:color w:val="auto"/>
                <w:szCs w:val="21"/>
              </w:rPr>
            </w:pPr>
          </w:p>
        </w:tc>
        <w:tc>
          <w:tcPr>
            <w:tcW w:w="1323" w:type="dxa"/>
          </w:tcPr>
          <w:p>
            <w:pPr>
              <w:spacing w:line="280" w:lineRule="exact"/>
              <w:rPr>
                <w:rFonts w:ascii="仿宋_GB2312" w:eastAsia="仿宋_GB2312"/>
                <w:color w:val="auto"/>
                <w:szCs w:val="21"/>
              </w:rPr>
            </w:pPr>
          </w:p>
        </w:tc>
        <w:tc>
          <w:tcPr>
            <w:tcW w:w="851" w:type="dxa"/>
          </w:tcPr>
          <w:p>
            <w:pPr>
              <w:spacing w:line="280" w:lineRule="exact"/>
              <w:rPr>
                <w:rFonts w:ascii="仿宋_GB2312" w:eastAsia="仿宋_GB2312"/>
                <w:color w:val="auto"/>
                <w:szCs w:val="21"/>
              </w:rPr>
            </w:pPr>
          </w:p>
        </w:tc>
        <w:tc>
          <w:tcPr>
            <w:tcW w:w="661" w:type="dxa"/>
          </w:tcPr>
          <w:p>
            <w:pPr>
              <w:spacing w:line="280" w:lineRule="exact"/>
              <w:rPr>
                <w:rFonts w:ascii="仿宋_GB2312" w:eastAsia="仿宋_GB2312"/>
                <w:color w:val="auto"/>
                <w:szCs w:val="21"/>
              </w:rPr>
            </w:pPr>
          </w:p>
        </w:tc>
      </w:tr>
    </w:tbl>
    <w:p>
      <w:pPr>
        <w:spacing w:line="280" w:lineRule="exact"/>
        <w:rPr>
          <w:rFonts w:ascii="仿宋_GB2312" w:eastAsia="仿宋_GB2312"/>
          <w:b/>
          <w:color w:val="auto"/>
          <w:sz w:val="24"/>
        </w:rPr>
      </w:pPr>
      <w:r>
        <w:rPr>
          <w:rFonts w:hint="eastAsia" w:ascii="仿宋_GB2312" w:eastAsia="仿宋_GB2312"/>
          <w:b/>
          <w:color w:val="auto"/>
          <w:sz w:val="24"/>
        </w:rPr>
        <w:t>投标单位全称：（公章 ）                               授权代表签字：</w:t>
      </w:r>
    </w:p>
    <w:p>
      <w:pPr>
        <w:snapToGrid w:val="0"/>
        <w:spacing w:line="280" w:lineRule="exact"/>
        <w:rPr>
          <w:rFonts w:ascii="仿宋_GB2312" w:eastAsia="仿宋_GB2312"/>
          <w:b/>
          <w:color w:val="auto"/>
          <w:sz w:val="24"/>
        </w:rPr>
      </w:pPr>
    </w:p>
    <w:p>
      <w:pPr>
        <w:snapToGrid w:val="0"/>
        <w:spacing w:line="280" w:lineRule="exact"/>
        <w:rPr>
          <w:rFonts w:ascii="仿宋_GB2312" w:eastAsia="仿宋_GB2312"/>
          <w:b/>
          <w:color w:val="auto"/>
          <w:sz w:val="24"/>
        </w:rPr>
      </w:pPr>
    </w:p>
    <w:p>
      <w:pPr>
        <w:snapToGrid w:val="0"/>
        <w:spacing w:line="280" w:lineRule="exact"/>
        <w:rPr>
          <w:rFonts w:ascii="仿宋_GB2312" w:eastAsia="仿宋_GB2312"/>
          <w:b/>
          <w:color w:val="auto"/>
          <w:sz w:val="24"/>
        </w:rPr>
      </w:pPr>
    </w:p>
    <w:p>
      <w:pPr>
        <w:snapToGrid w:val="0"/>
        <w:spacing w:line="280" w:lineRule="exact"/>
        <w:rPr>
          <w:rFonts w:ascii="仿宋_GB2312" w:eastAsia="仿宋_GB2312"/>
          <w:b/>
          <w:color w:val="auto"/>
          <w:sz w:val="24"/>
        </w:rPr>
      </w:pPr>
    </w:p>
    <w:p>
      <w:pPr>
        <w:snapToGrid w:val="0"/>
        <w:spacing w:line="280" w:lineRule="exact"/>
        <w:rPr>
          <w:rFonts w:ascii="仿宋_GB2312" w:eastAsia="仿宋_GB2312"/>
          <w:b/>
          <w:color w:val="auto"/>
          <w:sz w:val="24"/>
        </w:rPr>
      </w:pPr>
    </w:p>
    <w:p>
      <w:pPr>
        <w:snapToGrid w:val="0"/>
        <w:spacing w:line="280" w:lineRule="exact"/>
        <w:rPr>
          <w:rFonts w:ascii="仿宋_GB2312" w:eastAsia="仿宋_GB2312"/>
          <w:b/>
          <w:color w:val="auto"/>
          <w:sz w:val="24"/>
        </w:rPr>
      </w:pPr>
    </w:p>
    <w:p>
      <w:pPr>
        <w:snapToGrid w:val="0"/>
        <w:spacing w:line="280" w:lineRule="exact"/>
        <w:rPr>
          <w:rFonts w:ascii="仿宋_GB2312" w:eastAsia="仿宋_GB2312"/>
          <w:b/>
          <w:color w:val="auto"/>
          <w:sz w:val="24"/>
        </w:rPr>
      </w:pPr>
    </w:p>
    <w:p>
      <w:pPr>
        <w:snapToGrid w:val="0"/>
        <w:spacing w:line="280" w:lineRule="exact"/>
        <w:rPr>
          <w:rFonts w:ascii="仿宋_GB2312" w:eastAsia="仿宋_GB2312"/>
          <w:b/>
          <w:color w:val="auto"/>
          <w:sz w:val="24"/>
        </w:rPr>
      </w:pPr>
    </w:p>
    <w:p>
      <w:pPr>
        <w:snapToGrid w:val="0"/>
        <w:spacing w:line="280" w:lineRule="exact"/>
        <w:rPr>
          <w:rFonts w:ascii="仿宋_GB2312" w:eastAsia="仿宋_GB2312"/>
          <w:b/>
          <w:color w:val="auto"/>
          <w:sz w:val="24"/>
        </w:rPr>
      </w:pPr>
    </w:p>
    <w:p>
      <w:pPr>
        <w:snapToGrid w:val="0"/>
        <w:spacing w:line="280" w:lineRule="exact"/>
        <w:rPr>
          <w:rFonts w:ascii="仿宋_GB2312" w:eastAsia="仿宋_GB2312"/>
          <w:b/>
          <w:color w:val="auto"/>
          <w:sz w:val="24"/>
        </w:rPr>
      </w:pPr>
    </w:p>
    <w:p>
      <w:pPr>
        <w:snapToGrid w:val="0"/>
        <w:spacing w:line="280" w:lineRule="exact"/>
        <w:rPr>
          <w:rFonts w:ascii="仿宋_GB2312" w:eastAsia="仿宋_GB2312"/>
          <w:b/>
          <w:color w:val="auto"/>
          <w:sz w:val="24"/>
        </w:rPr>
      </w:pPr>
      <w:r>
        <w:rPr>
          <w:rFonts w:hint="eastAsia" w:ascii="仿宋_GB2312" w:eastAsia="仿宋_GB2312"/>
          <w:b/>
          <w:color w:val="auto"/>
          <w:sz w:val="24"/>
        </w:rPr>
        <w:t>注：</w:t>
      </w:r>
      <w:r>
        <w:rPr>
          <w:rFonts w:hint="eastAsia" w:ascii="仿宋_GB2312" w:eastAsia="仿宋_GB2312"/>
          <w:color w:val="auto"/>
          <w:sz w:val="24"/>
        </w:rPr>
        <w:t>(1)</w:t>
      </w:r>
      <w:r>
        <w:rPr>
          <w:rFonts w:hint="eastAsia" w:ascii="仿宋_GB2312" w:eastAsia="仿宋_GB2312"/>
          <w:bCs/>
          <w:color w:val="auto"/>
          <w:sz w:val="24"/>
        </w:rPr>
        <w:t>此表为样表，行数可自行添加，但表式不变。</w:t>
      </w:r>
    </w:p>
    <w:p>
      <w:pPr>
        <w:snapToGrid w:val="0"/>
        <w:spacing w:line="280" w:lineRule="exact"/>
        <w:ind w:firstLine="480" w:firstLineChars="200"/>
        <w:rPr>
          <w:rFonts w:ascii="仿宋_GB2312" w:eastAsia="仿宋_GB2312"/>
          <w:color w:val="auto"/>
          <w:sz w:val="24"/>
        </w:rPr>
      </w:pPr>
      <w:r>
        <w:rPr>
          <w:rFonts w:hint="eastAsia" w:ascii="仿宋_GB2312" w:eastAsia="仿宋_GB2312"/>
          <w:color w:val="auto"/>
          <w:sz w:val="24"/>
        </w:rPr>
        <w:t>(2)相关安装调试费用、质保及人员培训、后续服务及其他所有费用由投标人自行计算并填列。</w:t>
      </w:r>
    </w:p>
    <w:p>
      <w:pPr>
        <w:snapToGrid w:val="0"/>
        <w:spacing w:line="280" w:lineRule="exact"/>
        <w:ind w:firstLine="480" w:firstLineChars="200"/>
        <w:rPr>
          <w:rFonts w:ascii="仿宋_GB2312" w:eastAsia="仿宋_GB2312"/>
          <w:color w:val="auto"/>
          <w:sz w:val="24"/>
        </w:rPr>
      </w:pPr>
      <w:r>
        <w:rPr>
          <w:rFonts w:hint="eastAsia" w:ascii="仿宋_GB2312" w:eastAsia="仿宋_GB2312"/>
          <w:color w:val="auto"/>
          <w:sz w:val="24"/>
        </w:rPr>
        <w:t>(3)总价=单价*数量，数量由投标人自行计算并填列。</w:t>
      </w:r>
    </w:p>
    <w:p>
      <w:pPr>
        <w:spacing w:line="280" w:lineRule="exact"/>
        <w:ind w:firstLine="480"/>
        <w:rPr>
          <w:rFonts w:ascii="仿宋_GB2312" w:eastAsia="仿宋_GB2312"/>
          <w:color w:val="auto"/>
          <w:sz w:val="24"/>
        </w:rPr>
      </w:pPr>
      <w:r>
        <w:rPr>
          <w:rFonts w:hint="eastAsia" w:ascii="仿宋_GB2312" w:eastAsia="仿宋_GB2312"/>
          <w:color w:val="auto"/>
          <w:sz w:val="24"/>
        </w:rPr>
        <w:t>(4)上表中的“投标报价总价”数应当等于“报价一览表”中“投标报价总价”数。</w:t>
      </w:r>
    </w:p>
    <w:p>
      <w:pPr>
        <w:spacing w:line="280" w:lineRule="exact"/>
        <w:ind w:firstLine="472" w:firstLineChars="196"/>
        <w:rPr>
          <w:rFonts w:ascii="仿宋_GB2312" w:hAnsi="新宋体" w:eastAsia="仿宋_GB2312"/>
          <w:b/>
          <w:bCs/>
          <w:color w:val="auto"/>
          <w:sz w:val="24"/>
        </w:rPr>
      </w:pPr>
    </w:p>
    <w:p>
      <w:pPr>
        <w:spacing w:line="280" w:lineRule="exact"/>
        <w:ind w:firstLine="472" w:firstLineChars="196"/>
        <w:rPr>
          <w:rFonts w:ascii="仿宋_GB2312" w:hAnsi="新宋体" w:eastAsia="仿宋_GB2312"/>
          <w:b/>
          <w:bCs/>
          <w:color w:val="auto"/>
          <w:sz w:val="24"/>
        </w:rPr>
      </w:pPr>
      <w:r>
        <w:rPr>
          <w:rFonts w:hint="eastAsia" w:ascii="仿宋_GB2312" w:hAnsi="新宋体" w:eastAsia="仿宋_GB2312"/>
          <w:b/>
          <w:bCs/>
          <w:color w:val="auto"/>
          <w:sz w:val="24"/>
        </w:rPr>
        <w:t>三、技术要求响应表</w:t>
      </w:r>
    </w:p>
    <w:p>
      <w:pPr>
        <w:tabs>
          <w:tab w:val="left" w:pos="7980"/>
        </w:tabs>
        <w:spacing w:line="280" w:lineRule="exact"/>
        <w:ind w:firstLine="480" w:firstLineChars="200"/>
        <w:rPr>
          <w:rFonts w:ascii="仿宋_GB2312" w:eastAsia="仿宋_GB2312"/>
          <w:color w:val="auto"/>
          <w:sz w:val="24"/>
        </w:rPr>
      </w:pPr>
      <w:r>
        <w:rPr>
          <w:rFonts w:hint="eastAsia" w:ascii="仿宋_GB2312" w:eastAsia="仿宋_GB2312"/>
          <w:color w:val="auto"/>
          <w:sz w:val="24"/>
        </w:rPr>
        <w:t>说</w:t>
      </w:r>
      <w:r>
        <w:rPr>
          <w:rFonts w:hint="eastAsia" w:ascii="仿宋_GB2312" w:eastAsia="仿宋_GB2312"/>
          <w:color w:val="auto"/>
          <w:sz w:val="24"/>
        </w:rPr>
        <w:t>明：报价人必须仔细阅读采购文件中所有技术规范条款和相关功能要求，并对所有技术规范和功能偏离的条目列入下表。报价人必须根据实际情况如实填写，评标小组如发现有虚假描述的，该报价文件视为无效。</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70"/>
        <w:gridCol w:w="3022"/>
        <w:gridCol w:w="2753"/>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43" w:type="dxa"/>
            <w:vAlign w:val="center"/>
          </w:tcPr>
          <w:p>
            <w:pPr>
              <w:spacing w:line="280" w:lineRule="exact"/>
              <w:jc w:val="center"/>
              <w:rPr>
                <w:rFonts w:ascii="仿宋_GB2312" w:hAnsi="宋体" w:eastAsia="仿宋_GB2312"/>
                <w:color w:val="auto"/>
                <w:sz w:val="24"/>
              </w:rPr>
            </w:pPr>
            <w:r>
              <w:rPr>
                <w:rFonts w:hint="eastAsia" w:ascii="仿宋_GB2312" w:hAnsi="宋体" w:eastAsia="仿宋_GB2312"/>
                <w:color w:val="auto"/>
                <w:sz w:val="24"/>
              </w:rPr>
              <w:t>序号</w:t>
            </w:r>
          </w:p>
        </w:tc>
        <w:tc>
          <w:tcPr>
            <w:tcW w:w="1470" w:type="dxa"/>
            <w:vAlign w:val="center"/>
          </w:tcPr>
          <w:p>
            <w:pPr>
              <w:spacing w:line="280" w:lineRule="exact"/>
              <w:jc w:val="center"/>
              <w:rPr>
                <w:rFonts w:ascii="仿宋_GB2312" w:hAnsi="宋体" w:eastAsia="仿宋_GB2312"/>
                <w:color w:val="auto"/>
                <w:sz w:val="24"/>
              </w:rPr>
            </w:pPr>
            <w:r>
              <w:rPr>
                <w:rFonts w:hint="eastAsia" w:ascii="仿宋_GB2312" w:hAnsi="宋体" w:eastAsia="仿宋_GB2312"/>
                <w:color w:val="auto"/>
                <w:sz w:val="24"/>
              </w:rPr>
              <w:t>产品名称</w:t>
            </w:r>
          </w:p>
        </w:tc>
        <w:tc>
          <w:tcPr>
            <w:tcW w:w="3022" w:type="dxa"/>
            <w:vAlign w:val="center"/>
          </w:tcPr>
          <w:p>
            <w:pPr>
              <w:spacing w:line="280" w:lineRule="exact"/>
              <w:jc w:val="center"/>
              <w:rPr>
                <w:rFonts w:ascii="仿宋_GB2312" w:hAnsi="宋体" w:eastAsia="仿宋_GB2312"/>
                <w:color w:val="auto"/>
                <w:sz w:val="24"/>
              </w:rPr>
            </w:pPr>
            <w:r>
              <w:rPr>
                <w:rFonts w:hint="eastAsia" w:ascii="仿宋_GB2312" w:hAnsi="宋体" w:eastAsia="仿宋_GB2312"/>
                <w:color w:val="auto"/>
                <w:sz w:val="24"/>
              </w:rPr>
              <w:t>原技术规范主要条款描述</w:t>
            </w:r>
          </w:p>
        </w:tc>
        <w:tc>
          <w:tcPr>
            <w:tcW w:w="2753" w:type="dxa"/>
            <w:vAlign w:val="center"/>
          </w:tcPr>
          <w:p>
            <w:pPr>
              <w:spacing w:line="280" w:lineRule="exact"/>
              <w:jc w:val="center"/>
              <w:rPr>
                <w:rFonts w:ascii="仿宋_GB2312" w:hAnsi="宋体" w:eastAsia="仿宋_GB2312"/>
                <w:color w:val="auto"/>
                <w:sz w:val="24"/>
              </w:rPr>
            </w:pPr>
            <w:r>
              <w:rPr>
                <w:rFonts w:hint="eastAsia" w:ascii="仿宋_GB2312" w:hAnsi="宋体" w:eastAsia="仿宋_GB2312"/>
                <w:color w:val="auto"/>
                <w:sz w:val="24"/>
              </w:rPr>
              <w:t>投标人技术规范描述</w:t>
            </w:r>
          </w:p>
        </w:tc>
        <w:tc>
          <w:tcPr>
            <w:tcW w:w="1234" w:type="dxa"/>
            <w:vAlign w:val="center"/>
          </w:tcPr>
          <w:p>
            <w:pPr>
              <w:spacing w:line="280" w:lineRule="exact"/>
              <w:jc w:val="center"/>
              <w:rPr>
                <w:rFonts w:ascii="仿宋_GB2312" w:hAnsi="宋体" w:eastAsia="仿宋_GB2312"/>
                <w:color w:val="auto"/>
                <w:sz w:val="24"/>
              </w:rPr>
            </w:pPr>
            <w:r>
              <w:rPr>
                <w:rFonts w:hint="eastAsia" w:ascii="仿宋_GB2312" w:hAnsi="宋体" w:eastAsia="仿宋_GB2312"/>
                <w:color w:val="auto"/>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43" w:type="dxa"/>
            <w:vAlign w:val="center"/>
          </w:tcPr>
          <w:p>
            <w:pPr>
              <w:spacing w:line="280" w:lineRule="exact"/>
              <w:jc w:val="center"/>
              <w:rPr>
                <w:rFonts w:ascii="仿宋_GB2312" w:hAnsi="宋体" w:eastAsia="仿宋_GB2312"/>
                <w:color w:val="auto"/>
                <w:sz w:val="24"/>
              </w:rPr>
            </w:pPr>
            <w:r>
              <w:rPr>
                <w:rFonts w:hint="eastAsia" w:ascii="仿宋_GB2312" w:hAnsi="宋体" w:eastAsia="仿宋_GB2312"/>
                <w:color w:val="auto"/>
                <w:sz w:val="24"/>
              </w:rPr>
              <w:t>1</w:t>
            </w:r>
          </w:p>
        </w:tc>
        <w:tc>
          <w:tcPr>
            <w:tcW w:w="1470" w:type="dxa"/>
            <w:vAlign w:val="center"/>
          </w:tcPr>
          <w:p>
            <w:pPr>
              <w:spacing w:line="280" w:lineRule="exact"/>
              <w:jc w:val="center"/>
              <w:rPr>
                <w:rFonts w:ascii="仿宋_GB2312" w:hAnsi="宋体" w:eastAsia="仿宋_GB2312"/>
                <w:color w:val="auto"/>
                <w:sz w:val="24"/>
              </w:rPr>
            </w:pPr>
          </w:p>
        </w:tc>
        <w:tc>
          <w:tcPr>
            <w:tcW w:w="3022" w:type="dxa"/>
            <w:vAlign w:val="center"/>
          </w:tcPr>
          <w:p>
            <w:pPr>
              <w:spacing w:line="280" w:lineRule="exact"/>
              <w:jc w:val="center"/>
              <w:rPr>
                <w:rFonts w:ascii="仿宋_GB2312" w:hAnsi="宋体" w:eastAsia="仿宋_GB2312"/>
                <w:color w:val="auto"/>
                <w:sz w:val="24"/>
              </w:rPr>
            </w:pPr>
          </w:p>
        </w:tc>
        <w:tc>
          <w:tcPr>
            <w:tcW w:w="2753" w:type="dxa"/>
            <w:vAlign w:val="center"/>
          </w:tcPr>
          <w:p>
            <w:pPr>
              <w:spacing w:line="280" w:lineRule="exact"/>
              <w:jc w:val="center"/>
              <w:rPr>
                <w:rFonts w:ascii="仿宋_GB2312" w:hAnsi="宋体" w:eastAsia="仿宋_GB2312"/>
                <w:color w:val="auto"/>
                <w:sz w:val="24"/>
              </w:rPr>
            </w:pPr>
          </w:p>
        </w:tc>
        <w:tc>
          <w:tcPr>
            <w:tcW w:w="1234" w:type="dxa"/>
            <w:vAlign w:val="center"/>
          </w:tcPr>
          <w:p>
            <w:pPr>
              <w:spacing w:line="28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43" w:type="dxa"/>
            <w:vAlign w:val="center"/>
          </w:tcPr>
          <w:p>
            <w:pPr>
              <w:spacing w:line="280" w:lineRule="exact"/>
              <w:jc w:val="center"/>
              <w:rPr>
                <w:rFonts w:ascii="仿宋_GB2312" w:hAnsi="宋体" w:eastAsia="仿宋_GB2312"/>
                <w:color w:val="auto"/>
                <w:sz w:val="24"/>
              </w:rPr>
            </w:pPr>
            <w:r>
              <w:rPr>
                <w:rFonts w:hint="eastAsia" w:ascii="仿宋_GB2312" w:hAnsi="宋体" w:eastAsia="仿宋_GB2312"/>
                <w:color w:val="auto"/>
                <w:sz w:val="24"/>
              </w:rPr>
              <w:t>2</w:t>
            </w:r>
          </w:p>
        </w:tc>
        <w:tc>
          <w:tcPr>
            <w:tcW w:w="1470" w:type="dxa"/>
            <w:vAlign w:val="center"/>
          </w:tcPr>
          <w:p>
            <w:pPr>
              <w:spacing w:line="280" w:lineRule="exact"/>
              <w:jc w:val="center"/>
              <w:rPr>
                <w:rFonts w:ascii="仿宋_GB2312" w:hAnsi="宋体" w:eastAsia="仿宋_GB2312"/>
                <w:color w:val="auto"/>
                <w:sz w:val="24"/>
              </w:rPr>
            </w:pPr>
          </w:p>
        </w:tc>
        <w:tc>
          <w:tcPr>
            <w:tcW w:w="3022" w:type="dxa"/>
            <w:vAlign w:val="center"/>
          </w:tcPr>
          <w:p>
            <w:pPr>
              <w:spacing w:line="280" w:lineRule="exact"/>
              <w:jc w:val="center"/>
              <w:rPr>
                <w:rFonts w:ascii="仿宋_GB2312" w:hAnsi="宋体" w:eastAsia="仿宋_GB2312"/>
                <w:color w:val="auto"/>
                <w:sz w:val="24"/>
              </w:rPr>
            </w:pPr>
          </w:p>
        </w:tc>
        <w:tc>
          <w:tcPr>
            <w:tcW w:w="2753" w:type="dxa"/>
            <w:vAlign w:val="center"/>
          </w:tcPr>
          <w:p>
            <w:pPr>
              <w:spacing w:line="280" w:lineRule="exact"/>
              <w:jc w:val="center"/>
              <w:rPr>
                <w:rFonts w:ascii="仿宋_GB2312" w:hAnsi="宋体" w:eastAsia="仿宋_GB2312"/>
                <w:color w:val="auto"/>
                <w:sz w:val="24"/>
              </w:rPr>
            </w:pPr>
          </w:p>
        </w:tc>
        <w:tc>
          <w:tcPr>
            <w:tcW w:w="1234" w:type="dxa"/>
            <w:vAlign w:val="center"/>
          </w:tcPr>
          <w:p>
            <w:pPr>
              <w:spacing w:line="28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43" w:type="dxa"/>
            <w:vAlign w:val="center"/>
          </w:tcPr>
          <w:p>
            <w:pPr>
              <w:spacing w:line="280" w:lineRule="exact"/>
              <w:jc w:val="center"/>
              <w:rPr>
                <w:rFonts w:ascii="仿宋_GB2312" w:hAnsi="宋体" w:eastAsia="仿宋_GB2312"/>
                <w:color w:val="auto"/>
                <w:sz w:val="24"/>
              </w:rPr>
            </w:pPr>
            <w:r>
              <w:rPr>
                <w:rFonts w:hint="eastAsia" w:ascii="仿宋_GB2312" w:hAnsi="宋体" w:eastAsia="仿宋_GB2312"/>
                <w:color w:val="auto"/>
                <w:sz w:val="24"/>
              </w:rPr>
              <w:t>3</w:t>
            </w:r>
          </w:p>
        </w:tc>
        <w:tc>
          <w:tcPr>
            <w:tcW w:w="1470" w:type="dxa"/>
            <w:vAlign w:val="center"/>
          </w:tcPr>
          <w:p>
            <w:pPr>
              <w:spacing w:line="280" w:lineRule="exact"/>
              <w:jc w:val="center"/>
              <w:rPr>
                <w:rFonts w:ascii="仿宋_GB2312" w:hAnsi="宋体" w:eastAsia="仿宋_GB2312"/>
                <w:color w:val="auto"/>
                <w:sz w:val="24"/>
              </w:rPr>
            </w:pPr>
          </w:p>
        </w:tc>
        <w:tc>
          <w:tcPr>
            <w:tcW w:w="3022" w:type="dxa"/>
            <w:vAlign w:val="center"/>
          </w:tcPr>
          <w:p>
            <w:pPr>
              <w:spacing w:line="280" w:lineRule="exact"/>
              <w:jc w:val="center"/>
              <w:rPr>
                <w:rFonts w:ascii="仿宋_GB2312" w:hAnsi="宋体" w:eastAsia="仿宋_GB2312"/>
                <w:color w:val="auto"/>
                <w:sz w:val="24"/>
              </w:rPr>
            </w:pPr>
          </w:p>
        </w:tc>
        <w:tc>
          <w:tcPr>
            <w:tcW w:w="2753" w:type="dxa"/>
            <w:vAlign w:val="center"/>
          </w:tcPr>
          <w:p>
            <w:pPr>
              <w:spacing w:line="280" w:lineRule="exact"/>
              <w:jc w:val="center"/>
              <w:rPr>
                <w:rFonts w:ascii="仿宋_GB2312" w:hAnsi="宋体" w:eastAsia="仿宋_GB2312"/>
                <w:color w:val="auto"/>
                <w:sz w:val="24"/>
              </w:rPr>
            </w:pPr>
          </w:p>
        </w:tc>
        <w:tc>
          <w:tcPr>
            <w:tcW w:w="1234" w:type="dxa"/>
            <w:vAlign w:val="center"/>
          </w:tcPr>
          <w:p>
            <w:pPr>
              <w:spacing w:line="28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43" w:type="dxa"/>
            <w:vAlign w:val="center"/>
          </w:tcPr>
          <w:p>
            <w:pPr>
              <w:spacing w:line="280" w:lineRule="exact"/>
              <w:jc w:val="center"/>
              <w:rPr>
                <w:rFonts w:ascii="仿宋_GB2312" w:hAnsi="宋体" w:eastAsia="仿宋_GB2312"/>
                <w:color w:val="auto"/>
                <w:sz w:val="24"/>
              </w:rPr>
            </w:pPr>
            <w:r>
              <w:rPr>
                <w:rFonts w:hint="eastAsia" w:ascii="仿宋_GB2312" w:hAnsi="宋体" w:eastAsia="仿宋_GB2312"/>
                <w:color w:val="auto"/>
                <w:sz w:val="24"/>
              </w:rPr>
              <w:t>4</w:t>
            </w:r>
          </w:p>
        </w:tc>
        <w:tc>
          <w:tcPr>
            <w:tcW w:w="1470" w:type="dxa"/>
            <w:vAlign w:val="center"/>
          </w:tcPr>
          <w:p>
            <w:pPr>
              <w:spacing w:line="280" w:lineRule="exact"/>
              <w:jc w:val="center"/>
              <w:rPr>
                <w:rFonts w:ascii="仿宋_GB2312" w:hAnsi="宋体" w:eastAsia="仿宋_GB2312"/>
                <w:color w:val="auto"/>
                <w:sz w:val="24"/>
              </w:rPr>
            </w:pPr>
          </w:p>
        </w:tc>
        <w:tc>
          <w:tcPr>
            <w:tcW w:w="3022" w:type="dxa"/>
            <w:vAlign w:val="center"/>
          </w:tcPr>
          <w:p>
            <w:pPr>
              <w:spacing w:line="280" w:lineRule="exact"/>
              <w:jc w:val="center"/>
              <w:rPr>
                <w:rFonts w:ascii="仿宋_GB2312" w:hAnsi="宋体" w:eastAsia="仿宋_GB2312"/>
                <w:color w:val="auto"/>
                <w:sz w:val="24"/>
              </w:rPr>
            </w:pPr>
          </w:p>
        </w:tc>
        <w:tc>
          <w:tcPr>
            <w:tcW w:w="2753" w:type="dxa"/>
            <w:vAlign w:val="center"/>
          </w:tcPr>
          <w:p>
            <w:pPr>
              <w:spacing w:line="280" w:lineRule="exact"/>
              <w:jc w:val="center"/>
              <w:rPr>
                <w:rFonts w:ascii="仿宋_GB2312" w:hAnsi="宋体" w:eastAsia="仿宋_GB2312"/>
                <w:color w:val="auto"/>
                <w:sz w:val="24"/>
              </w:rPr>
            </w:pPr>
          </w:p>
        </w:tc>
        <w:tc>
          <w:tcPr>
            <w:tcW w:w="1234" w:type="dxa"/>
            <w:vAlign w:val="center"/>
          </w:tcPr>
          <w:p>
            <w:pPr>
              <w:spacing w:line="28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2313" w:type="dxa"/>
            <w:gridSpan w:val="2"/>
            <w:vAlign w:val="center"/>
          </w:tcPr>
          <w:p>
            <w:pPr>
              <w:spacing w:line="280" w:lineRule="exact"/>
              <w:jc w:val="center"/>
              <w:rPr>
                <w:rFonts w:ascii="仿宋_GB2312" w:hAnsi="宋体" w:eastAsia="仿宋_GB2312"/>
                <w:color w:val="auto"/>
                <w:sz w:val="24"/>
              </w:rPr>
            </w:pPr>
            <w:r>
              <w:rPr>
                <w:rFonts w:hint="eastAsia" w:ascii="仿宋_GB2312" w:hAnsi="宋体" w:eastAsia="仿宋_GB2312"/>
                <w:color w:val="auto"/>
                <w:sz w:val="24"/>
              </w:rPr>
              <w:t>投标报价合计</w:t>
            </w:r>
          </w:p>
        </w:tc>
        <w:tc>
          <w:tcPr>
            <w:tcW w:w="3022" w:type="dxa"/>
            <w:vAlign w:val="center"/>
          </w:tcPr>
          <w:p>
            <w:pPr>
              <w:spacing w:line="280" w:lineRule="exact"/>
              <w:jc w:val="center"/>
              <w:rPr>
                <w:rFonts w:ascii="仿宋_GB2312" w:hAnsi="宋体" w:eastAsia="仿宋_GB2312"/>
                <w:color w:val="auto"/>
                <w:sz w:val="24"/>
              </w:rPr>
            </w:pPr>
          </w:p>
        </w:tc>
        <w:tc>
          <w:tcPr>
            <w:tcW w:w="2753" w:type="dxa"/>
            <w:vAlign w:val="center"/>
          </w:tcPr>
          <w:p>
            <w:pPr>
              <w:spacing w:line="280" w:lineRule="exact"/>
              <w:jc w:val="center"/>
              <w:rPr>
                <w:rFonts w:ascii="仿宋_GB2312" w:hAnsi="宋体" w:eastAsia="仿宋_GB2312"/>
                <w:color w:val="auto"/>
                <w:sz w:val="24"/>
              </w:rPr>
            </w:pPr>
          </w:p>
        </w:tc>
        <w:tc>
          <w:tcPr>
            <w:tcW w:w="1234" w:type="dxa"/>
            <w:vAlign w:val="center"/>
          </w:tcPr>
          <w:p>
            <w:pPr>
              <w:spacing w:line="280" w:lineRule="exact"/>
              <w:jc w:val="center"/>
              <w:rPr>
                <w:rFonts w:ascii="仿宋_GB2312" w:hAnsi="宋体" w:eastAsia="仿宋_GB2312"/>
                <w:color w:val="auto"/>
                <w:sz w:val="24"/>
              </w:rPr>
            </w:pPr>
          </w:p>
        </w:tc>
      </w:tr>
    </w:tbl>
    <w:p>
      <w:pPr>
        <w:spacing w:line="280" w:lineRule="exact"/>
        <w:rPr>
          <w:rFonts w:ascii="仿宋_GB2312" w:eastAsia="仿宋_GB2312"/>
          <w:b/>
          <w:bCs/>
          <w:color w:val="auto"/>
          <w:sz w:val="24"/>
        </w:rPr>
      </w:pPr>
      <w:r>
        <w:rPr>
          <w:rFonts w:hint="eastAsia" w:ascii="仿宋_GB2312" w:hAnsi="宋体" w:eastAsia="仿宋_GB2312"/>
          <w:color w:val="auto"/>
          <w:sz w:val="24"/>
        </w:rPr>
        <w:t xml:space="preserve">  </w:t>
      </w:r>
      <w:r>
        <w:rPr>
          <w:rFonts w:hint="eastAsia" w:ascii="仿宋_GB2312" w:eastAsia="仿宋_GB2312"/>
          <w:b/>
          <w:bCs/>
          <w:color w:val="auto"/>
          <w:sz w:val="24"/>
        </w:rPr>
        <w:t>谈判供应商</w:t>
      </w:r>
      <w:r>
        <w:rPr>
          <w:rFonts w:hint="eastAsia" w:ascii="仿宋_GB2312" w:hAnsi="宋体" w:eastAsia="仿宋_GB2312"/>
          <w:color w:val="auto"/>
          <w:sz w:val="24"/>
        </w:rPr>
        <w:t xml:space="preserve">：（公章 ）                    </w:t>
      </w:r>
      <w:r>
        <w:rPr>
          <w:rFonts w:hint="eastAsia" w:ascii="仿宋_GB2312" w:eastAsia="仿宋_GB2312"/>
          <w:b/>
          <w:bCs/>
          <w:color w:val="auto"/>
          <w:sz w:val="24"/>
        </w:rPr>
        <w:t>授权代表签字：</w:t>
      </w:r>
    </w:p>
    <w:p>
      <w:pPr>
        <w:snapToGrid w:val="0"/>
        <w:spacing w:line="280" w:lineRule="exact"/>
        <w:ind w:firstLine="480" w:firstLineChars="200"/>
        <w:rPr>
          <w:rFonts w:ascii="仿宋_GB2312" w:eastAsia="仿宋_GB2312"/>
          <w:color w:val="auto"/>
          <w:sz w:val="24"/>
        </w:rPr>
      </w:pPr>
      <w:r>
        <w:rPr>
          <w:rFonts w:hint="eastAsia" w:ascii="仿宋_GB2312" w:eastAsia="仿宋_GB2312"/>
          <w:color w:val="auto"/>
          <w:sz w:val="24"/>
        </w:rPr>
        <w:t>注：（1）此表为样表，行数可自行添加，但表式不变。</w:t>
      </w:r>
    </w:p>
    <w:p>
      <w:pPr>
        <w:snapToGrid w:val="0"/>
        <w:spacing w:line="280" w:lineRule="exact"/>
        <w:ind w:firstLine="840" w:firstLineChars="350"/>
        <w:rPr>
          <w:rFonts w:ascii="仿宋_GB2312" w:eastAsia="仿宋_GB2312"/>
          <w:color w:val="auto"/>
          <w:sz w:val="24"/>
        </w:rPr>
      </w:pPr>
      <w:r>
        <w:rPr>
          <w:rFonts w:hint="eastAsia" w:ascii="仿宋_GB2312" w:eastAsia="仿宋_GB2312"/>
          <w:color w:val="auto"/>
          <w:sz w:val="24"/>
        </w:rPr>
        <w:t>（2）投标人根据要求自行添加的材料等也请列出。</w:t>
      </w:r>
    </w:p>
    <w:p>
      <w:pPr>
        <w:snapToGrid w:val="0"/>
        <w:spacing w:line="280" w:lineRule="exact"/>
        <w:ind w:firstLine="840" w:firstLineChars="350"/>
        <w:rPr>
          <w:rFonts w:ascii="仿宋_GB2312" w:eastAsia="仿宋_GB2312"/>
          <w:color w:val="auto"/>
          <w:sz w:val="24"/>
        </w:rPr>
      </w:pPr>
      <w:r>
        <w:rPr>
          <w:rFonts w:hint="eastAsia" w:ascii="仿宋_GB2312" w:eastAsia="仿宋_GB2312"/>
          <w:color w:val="auto"/>
          <w:sz w:val="24"/>
        </w:rPr>
        <w:t>（3）是否偏离用符号“+、=、-”分别表示正偏离、完全响应、负偏离。</w:t>
      </w:r>
    </w:p>
    <w:p>
      <w:pPr>
        <w:snapToGrid w:val="0"/>
        <w:spacing w:line="340" w:lineRule="exact"/>
        <w:ind w:firstLine="840" w:firstLineChars="350"/>
        <w:rPr>
          <w:rFonts w:ascii="仿宋_GB2312" w:eastAsia="仿宋_GB2312"/>
          <w:color w:val="auto"/>
          <w:sz w:val="24"/>
        </w:rPr>
      </w:pPr>
    </w:p>
    <w:p>
      <w:pPr>
        <w:snapToGrid w:val="0"/>
        <w:spacing w:line="340" w:lineRule="exact"/>
        <w:ind w:firstLine="826" w:firstLineChars="343"/>
        <w:rPr>
          <w:rFonts w:ascii="仿宋_GB2312" w:hAnsi="新宋体" w:eastAsia="仿宋_GB2312"/>
          <w:b/>
          <w:color w:val="auto"/>
          <w:sz w:val="24"/>
        </w:rPr>
      </w:pPr>
      <w:r>
        <w:rPr>
          <w:rFonts w:hint="eastAsia" w:ascii="仿宋_GB2312" w:hAnsi="新宋体" w:eastAsia="仿宋_GB2312"/>
          <w:b/>
          <w:color w:val="auto"/>
          <w:sz w:val="24"/>
        </w:rPr>
        <w:t>四、项目内容及采购方式</w:t>
      </w:r>
    </w:p>
    <w:p>
      <w:pPr>
        <w:spacing w:line="340" w:lineRule="exact"/>
        <w:ind w:firstLine="840" w:firstLineChars="350"/>
        <w:rPr>
          <w:rFonts w:ascii="仿宋_GB2312" w:hAnsi="宋体" w:eastAsia="仿宋_GB2312"/>
          <w:color w:val="auto"/>
          <w:sz w:val="24"/>
        </w:rPr>
      </w:pPr>
      <w:r>
        <w:rPr>
          <w:rFonts w:hint="eastAsia" w:ascii="仿宋_GB2312" w:hAnsi="宋体" w:eastAsia="仿宋_GB2312"/>
          <w:color w:val="auto"/>
          <w:sz w:val="24"/>
        </w:rPr>
        <w:t>1.项目内容：</w:t>
      </w:r>
      <w:r>
        <w:rPr>
          <w:rFonts w:hint="eastAsia" w:ascii="仿宋_GB2312" w:eastAsia="仿宋_GB2312"/>
          <w:color w:val="auto"/>
          <w:szCs w:val="21"/>
        </w:rPr>
        <w:t>在线开放课程和微课建设</w:t>
      </w:r>
      <w:r>
        <w:rPr>
          <w:rFonts w:hint="eastAsia" w:ascii="仿宋_GB2312" w:hAnsi="宋体" w:eastAsia="仿宋_GB2312"/>
          <w:color w:val="auto"/>
          <w:sz w:val="24"/>
        </w:rPr>
        <w:t>。</w:t>
      </w:r>
    </w:p>
    <w:p>
      <w:pPr>
        <w:snapToGrid w:val="0"/>
        <w:spacing w:line="340" w:lineRule="exact"/>
        <w:ind w:firstLine="840" w:firstLineChars="350"/>
        <w:rPr>
          <w:rFonts w:ascii="仿宋_GB2312" w:hAnsi="宋体" w:eastAsia="仿宋_GB2312"/>
          <w:color w:val="auto"/>
          <w:sz w:val="24"/>
        </w:rPr>
      </w:pPr>
      <w:r>
        <w:rPr>
          <w:rFonts w:hint="eastAsia" w:ascii="仿宋_GB2312" w:hAnsi="宋体" w:eastAsia="仿宋_GB2312"/>
          <w:color w:val="auto"/>
          <w:sz w:val="24"/>
        </w:rPr>
        <w:t>2.采购方式：公开招标。</w:t>
      </w:r>
    </w:p>
    <w:p>
      <w:pPr>
        <w:snapToGrid w:val="0"/>
        <w:spacing w:line="340" w:lineRule="exact"/>
        <w:ind w:firstLine="826" w:firstLineChars="343"/>
        <w:rPr>
          <w:rFonts w:ascii="仿宋" w:hAnsi="仿宋" w:eastAsia="仿宋" w:cs="仿宋"/>
          <w:b/>
          <w:color w:val="auto"/>
          <w:sz w:val="24"/>
        </w:rPr>
      </w:pPr>
      <w:r>
        <w:rPr>
          <w:rFonts w:hint="eastAsia" w:ascii="仿宋" w:hAnsi="仿宋" w:eastAsia="仿宋" w:cs="仿宋"/>
          <w:b/>
          <w:color w:val="auto"/>
          <w:sz w:val="24"/>
        </w:rPr>
        <w:t>五、功能及参数要求</w:t>
      </w:r>
    </w:p>
    <w:p>
      <w:pPr>
        <w:widowControl/>
        <w:adjustRightInd w:val="0"/>
        <w:snapToGrid w:val="0"/>
        <w:spacing w:before="156" w:beforeLines="50"/>
        <w:jc w:val="left"/>
        <w:outlineLvl w:val="0"/>
        <w:rPr>
          <w:rFonts w:ascii="仿宋" w:hAnsi="仿宋" w:eastAsia="仿宋" w:cs="仿宋"/>
          <w:b/>
          <w:bCs/>
          <w:color w:val="auto"/>
          <w:kern w:val="36"/>
          <w:sz w:val="24"/>
        </w:rPr>
      </w:pPr>
      <w:r>
        <w:rPr>
          <w:rFonts w:hint="eastAsia" w:ascii="仿宋" w:hAnsi="仿宋" w:eastAsia="仿宋" w:cs="仿宋"/>
          <w:b/>
          <w:color w:val="auto"/>
          <w:sz w:val="24"/>
        </w:rPr>
        <w:t xml:space="preserve">     （一）主要功能及参数要求</w:t>
      </w:r>
    </w:p>
    <w:p>
      <w:pPr>
        <w:spacing w:line="340" w:lineRule="exact"/>
        <w:ind w:firstLine="555"/>
        <w:rPr>
          <w:rFonts w:ascii="仿宋_GB2312" w:eastAsia="仿宋_GB2312"/>
          <w:color w:val="auto"/>
          <w:sz w:val="24"/>
        </w:rPr>
      </w:pPr>
      <w:r>
        <w:rPr>
          <w:rFonts w:hint="eastAsia" w:ascii="仿宋_GB2312" w:eastAsia="仿宋_GB2312"/>
          <w:color w:val="auto"/>
          <w:sz w:val="24"/>
        </w:rPr>
        <w:t>根据教育部关于开展“在线开放课程”教学要求，为配合全国高校开设网上课程，江苏第二师范学院计划开展在线开放课程制作，包含课程制作、宣传片制作、课程素材库及授课平台建设维护等内容。其中课程制作是指按照知识单元进行组织，将知识点讲授视频、教学目标、教学大纲、教学任务、考核办法、作业、考试、参考文献、课程素材、教学评价等内容或环节有机整合，形成富媒体化的课程资源。授课平台建设是指构建一个具备资源分享、课程管理、教学互动、数据分析、成果展示等功能为一体的优质平台。在符合江苏省在线开放课程建设技术规范前提下，还应符合以下技术要求。</w:t>
      </w:r>
    </w:p>
    <w:p>
      <w:pPr>
        <w:spacing w:line="340" w:lineRule="exact"/>
        <w:ind w:firstLine="555"/>
        <w:rPr>
          <w:rFonts w:ascii="仿宋_GB2312" w:eastAsia="仿宋_GB2312"/>
          <w:color w:val="auto"/>
          <w:sz w:val="24"/>
        </w:rPr>
      </w:pPr>
      <w:r>
        <w:rPr>
          <w:rFonts w:hint="eastAsia" w:ascii="仿宋_GB2312" w:eastAsia="仿宋_GB2312"/>
          <w:color w:val="auto"/>
          <w:sz w:val="24"/>
        </w:rPr>
        <w:t>1.课程制作：课程设计、课程规划、知识点设计、课程设计、课程拍摄、后期制作等，不包括资源库建设及平台建设，对课程制作的基本要求有：</w:t>
      </w:r>
    </w:p>
    <w:p>
      <w:pPr>
        <w:spacing w:line="340" w:lineRule="exact"/>
        <w:ind w:firstLine="555"/>
        <w:rPr>
          <w:rFonts w:ascii="仿宋_GB2312" w:eastAsia="仿宋_GB2312"/>
          <w:color w:val="auto"/>
          <w:sz w:val="24"/>
        </w:rPr>
      </w:pPr>
      <w:r>
        <w:rPr>
          <w:rFonts w:hint="eastAsia" w:ascii="仿宋_GB2312" w:eastAsia="仿宋_GB2312"/>
          <w:color w:val="auto"/>
          <w:sz w:val="24"/>
        </w:rPr>
        <w:t>（1）教学任务：课程制作方应根据教学大纲协助任课教师或教学团队优化授课流程、完善授课环节、制定教学任务。课程应包含授课视频播放、参考资料阅读、讨论、作业、考试等各种任务类型，并能根据授课实际需要灵活选择。</w:t>
      </w:r>
    </w:p>
    <w:p>
      <w:pPr>
        <w:spacing w:line="340" w:lineRule="exact"/>
        <w:ind w:firstLine="555"/>
        <w:rPr>
          <w:rFonts w:ascii="仿宋_GB2312" w:eastAsia="仿宋_GB2312"/>
          <w:color w:val="auto"/>
          <w:sz w:val="24"/>
        </w:rPr>
      </w:pPr>
      <w:r>
        <w:rPr>
          <w:rFonts w:hint="eastAsia" w:ascii="仿宋_GB2312" w:eastAsia="仿宋_GB2312"/>
          <w:color w:val="auto"/>
          <w:sz w:val="24"/>
        </w:rPr>
        <w:t>（2）知识单元：课程制作方应协助任课教师或教学团队在教学大纲指导下，按照在线开放课程特点组织课程知识单元。每个知识单元都是一个独立的课程单元，讲授一个具体的知识点。每个知识点视频时间以5-20分钟为宜，此非强制标准，根据课程知识点而定。</w:t>
      </w:r>
    </w:p>
    <w:p>
      <w:pPr>
        <w:spacing w:line="340" w:lineRule="exact"/>
        <w:ind w:firstLine="555"/>
        <w:rPr>
          <w:rFonts w:ascii="仿宋_GB2312" w:eastAsia="仿宋_GB2312"/>
          <w:color w:val="auto"/>
          <w:sz w:val="24"/>
        </w:rPr>
      </w:pPr>
      <w:r>
        <w:rPr>
          <w:rFonts w:hint="eastAsia" w:ascii="仿宋_GB2312" w:eastAsia="仿宋_GB2312"/>
          <w:color w:val="auto"/>
          <w:sz w:val="24"/>
        </w:rPr>
        <w:t>（3）媒体形态：教师讲授课程的媒体形态，应根据教学大纲、教学内容及教师特点等选择恰当的媒体形态，包含但不限于授课视频、PPT+授课录像、PPT+录音、虚拟现实、虚拟动画等形式。</w:t>
      </w:r>
    </w:p>
    <w:p>
      <w:pPr>
        <w:spacing w:line="340" w:lineRule="exact"/>
        <w:ind w:firstLine="555"/>
        <w:rPr>
          <w:rFonts w:ascii="仿宋_GB2312" w:eastAsia="仿宋_GB2312"/>
          <w:color w:val="auto"/>
          <w:sz w:val="24"/>
        </w:rPr>
      </w:pPr>
      <w:r>
        <w:rPr>
          <w:rFonts w:hint="eastAsia" w:ascii="仿宋_GB2312" w:eastAsia="仿宋_GB2312"/>
          <w:color w:val="auto"/>
          <w:sz w:val="24"/>
        </w:rPr>
        <w:t>（4）视频要求：视频应支持ASF、AVI、FLV、MOV、MP4等主流高清格式及通用流媒体视频格式，支持高清分辨率，支持内嵌或外挂完整字幕。</w:t>
      </w:r>
    </w:p>
    <w:p>
      <w:pPr>
        <w:spacing w:line="340" w:lineRule="exact"/>
        <w:ind w:firstLine="555"/>
        <w:rPr>
          <w:rFonts w:ascii="仿宋_GB2312" w:eastAsia="仿宋_GB2312"/>
          <w:color w:val="auto"/>
          <w:sz w:val="24"/>
        </w:rPr>
      </w:pPr>
      <w:r>
        <w:rPr>
          <w:rFonts w:hint="eastAsia" w:ascii="仿宋_GB2312" w:eastAsia="仿宋_GB2312"/>
          <w:color w:val="auto"/>
          <w:sz w:val="24"/>
        </w:rPr>
        <w:t>（5）作业考试：在线开放课程应建设题库，用于作业及考试，习题属性设置应当全面，包含各种题型（客观/主观/复合型），并包含难度系数参数（如简单、中等、难等）。习题库应当具有相应筛选功能，并可以通过知识点进行管理。习题库应支持数学、物理、化学等公式编辑并支持图片等素材上传与编辑。</w:t>
      </w:r>
    </w:p>
    <w:p>
      <w:pPr>
        <w:spacing w:line="340" w:lineRule="exact"/>
        <w:ind w:firstLine="555"/>
        <w:rPr>
          <w:rFonts w:ascii="仿宋_GB2312" w:eastAsia="仿宋_GB2312"/>
          <w:color w:val="auto"/>
          <w:sz w:val="24"/>
        </w:rPr>
      </w:pPr>
      <w:r>
        <w:rPr>
          <w:rFonts w:hint="eastAsia" w:ascii="仿宋_GB2312" w:eastAsia="仿宋_GB2312"/>
          <w:color w:val="auto"/>
          <w:sz w:val="24"/>
        </w:rPr>
        <w:t>2.参考文献及素材库建设：在线开放课程应同时提供参考文献及素材库功能，授课教师可以批量上传教学资料至素材库并根据教学需求批量处理,素材库应具备按照资料类型、上传时间等进行筛选的功能。素材库内教学资料可以知识点为主线进行管理，并可以设置浏览权限。其它要求包括：</w:t>
      </w:r>
    </w:p>
    <w:p>
      <w:pPr>
        <w:spacing w:line="340" w:lineRule="exact"/>
        <w:ind w:firstLine="555"/>
        <w:rPr>
          <w:rFonts w:ascii="仿宋_GB2312" w:eastAsia="仿宋_GB2312"/>
          <w:color w:val="auto"/>
          <w:sz w:val="24"/>
        </w:rPr>
      </w:pPr>
      <w:r>
        <w:rPr>
          <w:rFonts w:hint="eastAsia" w:ascii="仿宋_GB2312" w:eastAsia="仿宋_GB2312"/>
          <w:color w:val="auto"/>
          <w:sz w:val="24"/>
        </w:rPr>
        <w:t>（1）支持多种文档格式的上传，包括DOC、PPT、PDF、TXT等，上传后自动转码，无需下载可以直接在线阅读。</w:t>
      </w:r>
    </w:p>
    <w:p>
      <w:pPr>
        <w:spacing w:line="340" w:lineRule="exact"/>
        <w:ind w:firstLine="555"/>
        <w:rPr>
          <w:rFonts w:ascii="仿宋_GB2312" w:eastAsia="仿宋_GB2312"/>
          <w:color w:val="auto"/>
          <w:sz w:val="24"/>
        </w:rPr>
      </w:pPr>
      <w:r>
        <w:rPr>
          <w:rFonts w:hint="eastAsia" w:ascii="仿宋_GB2312" w:eastAsia="仿宋_GB2312"/>
          <w:color w:val="auto"/>
          <w:sz w:val="24"/>
        </w:rPr>
        <w:t>（2）支持rmvb、3gp、mpg、mpeg、mov、wmv、asf、avi、mkv、mp4、flv、vob、f4v等高清和网络格式视频上传，视频上传后自动转码，无需下载可以直接在线进行播放。</w:t>
      </w:r>
    </w:p>
    <w:p>
      <w:pPr>
        <w:spacing w:line="340" w:lineRule="exact"/>
        <w:ind w:firstLine="555"/>
        <w:rPr>
          <w:rFonts w:ascii="仿宋_GB2312" w:eastAsia="仿宋_GB2312"/>
          <w:color w:val="auto"/>
          <w:sz w:val="24"/>
        </w:rPr>
      </w:pPr>
      <w:r>
        <w:rPr>
          <w:rFonts w:hint="eastAsia" w:ascii="仿宋_GB2312" w:eastAsia="仿宋_GB2312"/>
          <w:color w:val="auto"/>
          <w:sz w:val="24"/>
        </w:rPr>
        <w:t>（3）对于课程制作过程中制作方提供的文本、音频、视频等课程参考资料，制作方应同时提供知识产权保护承诺函以及相关授权证明。</w:t>
      </w:r>
    </w:p>
    <w:p>
      <w:pPr>
        <w:spacing w:line="460" w:lineRule="exact"/>
        <w:rPr>
          <w:rFonts w:ascii="仿宋" w:hAnsi="仿宋" w:eastAsia="仿宋" w:cs="仿宋"/>
          <w:color w:val="auto"/>
          <w:sz w:val="24"/>
        </w:rPr>
      </w:pPr>
      <w:r>
        <w:rPr>
          <w:rFonts w:hint="eastAsia" w:ascii="仿宋" w:hAnsi="仿宋" w:eastAsia="仿宋" w:cs="仿宋"/>
          <w:b/>
          <w:color w:val="auto"/>
          <w:sz w:val="24"/>
        </w:rPr>
        <w:t xml:space="preserve">   （二）拍摄制作要求</w:t>
      </w:r>
    </w:p>
    <w:p>
      <w:pPr>
        <w:spacing w:line="340" w:lineRule="exact"/>
        <w:ind w:firstLine="555"/>
        <w:rPr>
          <w:rFonts w:ascii="仿宋_GB2312" w:eastAsia="仿宋_GB2312"/>
          <w:color w:val="auto"/>
          <w:sz w:val="24"/>
        </w:rPr>
      </w:pPr>
      <w:r>
        <w:rPr>
          <w:rFonts w:hint="eastAsia" w:ascii="仿宋_GB2312" w:eastAsia="仿宋_GB2312"/>
          <w:color w:val="auto"/>
          <w:sz w:val="24"/>
        </w:rPr>
        <w:t>1.制作方团队需具备独立完成在线开放课程和微课制作的能力，包括所有在线开放课程和微课制作所需职能及专业摄像设备、音频设备、灯光设备、影棚等。课程制作水平达到省级以上精品在线课程要求，达到“大规模开放在线课程（慕课）制作手册”要求。</w:t>
      </w:r>
    </w:p>
    <w:p>
      <w:pPr>
        <w:spacing w:line="340" w:lineRule="exact"/>
        <w:ind w:firstLine="555"/>
        <w:rPr>
          <w:rFonts w:ascii="仿宋_GB2312" w:eastAsia="仿宋_GB2312"/>
          <w:color w:val="auto"/>
          <w:sz w:val="24"/>
        </w:rPr>
      </w:pPr>
      <w:r>
        <w:rPr>
          <w:rFonts w:hint="eastAsia" w:ascii="仿宋_GB2312" w:eastAsia="仿宋_GB2312"/>
          <w:color w:val="auto"/>
          <w:sz w:val="24"/>
        </w:rPr>
        <w:t>2.视频有一定交互性。画面排版精致，图像清晰，色彩饱和，播放流畅，声音清楚，制作精细，吸引力强，激发学习兴趣设计独到、创意新颖。动画演播过程要求流畅，静止画面时间不超过</w:t>
      </w:r>
      <w:r>
        <w:rPr>
          <w:rFonts w:ascii="仿宋_GB2312" w:eastAsia="仿宋_GB2312"/>
          <w:color w:val="auto"/>
          <w:sz w:val="24"/>
        </w:rPr>
        <w:t>5</w:t>
      </w:r>
      <w:r>
        <w:rPr>
          <w:rFonts w:hint="eastAsia" w:ascii="仿宋_GB2312" w:eastAsia="仿宋_GB2312"/>
          <w:color w:val="auto"/>
          <w:sz w:val="24"/>
        </w:rPr>
        <w:t>秒。视频压缩采用</w:t>
      </w:r>
      <w:r>
        <w:rPr>
          <w:rFonts w:ascii="仿宋_GB2312" w:eastAsia="仿宋_GB2312"/>
          <w:color w:val="auto"/>
          <w:sz w:val="24"/>
        </w:rPr>
        <w:t>H.264</w:t>
      </w:r>
      <w:r>
        <w:rPr>
          <w:rFonts w:hint="eastAsia" w:ascii="仿宋_GB2312" w:eastAsia="仿宋_GB2312"/>
          <w:color w:val="auto"/>
          <w:sz w:val="24"/>
        </w:rPr>
        <w:t>编码方式，分辨率不低于</w:t>
      </w:r>
      <w:r>
        <w:rPr>
          <w:rFonts w:ascii="仿宋_GB2312" w:eastAsia="仿宋_GB2312"/>
          <w:color w:val="auto"/>
          <w:sz w:val="24"/>
        </w:rPr>
        <w:t>1280</w:t>
      </w:r>
      <w:r>
        <w:rPr>
          <w:rFonts w:hint="eastAsia" w:ascii="仿宋_GB2312" w:eastAsia="仿宋_GB2312"/>
          <w:color w:val="auto"/>
          <w:sz w:val="24"/>
        </w:rPr>
        <w:t>×</w:t>
      </w:r>
      <w:r>
        <w:rPr>
          <w:rFonts w:ascii="仿宋_GB2312" w:eastAsia="仿宋_GB2312"/>
          <w:color w:val="auto"/>
          <w:sz w:val="24"/>
        </w:rPr>
        <w:t>720</w:t>
      </w:r>
      <w:r>
        <w:rPr>
          <w:rFonts w:hint="eastAsia" w:ascii="仿宋_GB2312" w:eastAsia="仿宋_GB2312"/>
          <w:color w:val="auto"/>
          <w:sz w:val="24"/>
        </w:rPr>
        <w:t>（</w:t>
      </w:r>
      <w:r>
        <w:rPr>
          <w:rFonts w:ascii="仿宋_GB2312" w:eastAsia="仿宋_GB2312"/>
          <w:color w:val="auto"/>
          <w:sz w:val="24"/>
        </w:rPr>
        <w:t>16:9</w:t>
      </w:r>
      <w:r>
        <w:rPr>
          <w:rFonts w:hint="eastAsia" w:ascii="仿宋_GB2312" w:eastAsia="仿宋_GB2312"/>
          <w:color w:val="auto"/>
          <w:sz w:val="24"/>
        </w:rPr>
        <w:t>），单个视频文件小于200M。声音和画面要求同步，无交流声或其他杂音等缺陷，无明显失真、放音过冲、过弱。解说声与现场声、背景音乐无明显比例失调。音频信噪比不低于</w:t>
      </w:r>
      <w:r>
        <w:rPr>
          <w:rFonts w:ascii="仿宋_GB2312" w:eastAsia="仿宋_GB2312"/>
          <w:color w:val="auto"/>
          <w:sz w:val="24"/>
        </w:rPr>
        <w:t>48 dB</w:t>
      </w:r>
      <w:r>
        <w:rPr>
          <w:rFonts w:hint="eastAsia" w:ascii="仿宋_GB2312" w:eastAsia="仿宋_GB2312"/>
          <w:color w:val="auto"/>
          <w:sz w:val="24"/>
        </w:rPr>
        <w:t>。字幕要使用符合国家标准的规范字。</w:t>
      </w:r>
    </w:p>
    <w:p>
      <w:pPr>
        <w:spacing w:line="340" w:lineRule="exact"/>
        <w:ind w:firstLine="555"/>
        <w:rPr>
          <w:rFonts w:ascii="仿宋_GB2312" w:eastAsia="仿宋_GB2312"/>
          <w:color w:val="auto"/>
          <w:sz w:val="24"/>
        </w:rPr>
      </w:pPr>
      <w:r>
        <w:rPr>
          <w:rFonts w:hint="eastAsia" w:ascii="仿宋_GB2312" w:eastAsia="仿宋_GB2312"/>
          <w:color w:val="auto"/>
          <w:sz w:val="24"/>
        </w:rPr>
        <w:t>3.学校提交课程建设方案后</w:t>
      </w:r>
      <w:r>
        <w:rPr>
          <w:rFonts w:ascii="仿宋_GB2312" w:eastAsia="仿宋_GB2312"/>
          <w:color w:val="auto"/>
          <w:sz w:val="24"/>
        </w:rPr>
        <w:t>10</w:t>
      </w:r>
      <w:r>
        <w:rPr>
          <w:rFonts w:hint="eastAsia" w:ascii="仿宋_GB2312" w:eastAsia="仿宋_GB2312"/>
          <w:color w:val="auto"/>
          <w:sz w:val="24"/>
        </w:rPr>
        <w:t>天内开始课程制作脚本设计，其中1</w:t>
      </w:r>
      <w:r>
        <w:rPr>
          <w:rFonts w:ascii="仿宋_GB2312" w:eastAsia="仿宋_GB2312"/>
          <w:color w:val="auto"/>
          <w:sz w:val="24"/>
        </w:rPr>
        <w:t>0</w:t>
      </w:r>
      <w:r>
        <w:rPr>
          <w:rFonts w:hint="eastAsia" w:ascii="仿宋_GB2312" w:eastAsia="仿宋_GB2312"/>
          <w:color w:val="auto"/>
          <w:sz w:val="24"/>
        </w:rPr>
        <w:t>个微课视频需在9月30日前交付，慕课视频全部拍摄完成后60日内完成全部视频成品的交付工作。投标人在此次投标文件中，必须确定参与课程制作的主团队（10人左右），并提供团队成员资料。该团队需承担样片的制作，样片提交时，需附样片制作过程所有参与人员工作职责分工。</w:t>
      </w:r>
    </w:p>
    <w:p>
      <w:pPr>
        <w:pStyle w:val="19"/>
        <w:widowControl/>
        <w:ind w:firstLine="482"/>
        <w:rPr>
          <w:rFonts w:ascii="仿宋_GB2312" w:hAnsi="仿宋" w:eastAsia="仿宋_GB2312"/>
          <w:b/>
          <w:color w:val="auto"/>
          <w:sz w:val="24"/>
        </w:rPr>
      </w:pPr>
      <w:r>
        <w:rPr>
          <w:rFonts w:hint="eastAsia" w:ascii="仿宋_GB2312" w:hAnsi="仿宋" w:eastAsia="仿宋_GB2312"/>
          <w:b/>
          <w:color w:val="auto"/>
          <w:sz w:val="24"/>
        </w:rPr>
        <w:t>（三）现场演示</w:t>
      </w:r>
    </w:p>
    <w:p>
      <w:pPr>
        <w:pStyle w:val="19"/>
        <w:widowControl/>
        <w:ind w:firstLine="480"/>
        <w:rPr>
          <w:rFonts w:ascii="仿宋_GB2312" w:eastAsia="仿宋_GB2312"/>
          <w:color w:val="auto"/>
          <w:sz w:val="24"/>
        </w:rPr>
      </w:pPr>
      <w:r>
        <w:rPr>
          <w:rFonts w:hint="eastAsia" w:ascii="仿宋_GB2312" w:eastAsia="仿宋_GB2312"/>
          <w:color w:val="auto"/>
          <w:sz w:val="24"/>
        </w:rPr>
        <w:t>投标单位需在开标当天现场介绍情况并进行功能演示，请投标单位根据要求提前与招标单位联系场地、时间等事宜，落实设备安装，确保开标当天正常演示。</w:t>
      </w:r>
    </w:p>
    <w:p>
      <w:pPr>
        <w:snapToGrid w:val="0"/>
        <w:spacing w:line="460" w:lineRule="exact"/>
        <w:rPr>
          <w:rFonts w:ascii="仿宋" w:hAnsi="仿宋" w:eastAsia="仿宋" w:cs="仿宋"/>
          <w:b/>
          <w:color w:val="auto"/>
          <w:sz w:val="24"/>
        </w:rPr>
      </w:pPr>
      <w:r>
        <w:rPr>
          <w:rFonts w:hint="eastAsia" w:ascii="仿宋" w:hAnsi="仿宋" w:eastAsia="仿宋" w:cs="仿宋"/>
          <w:b/>
          <w:color w:val="auto"/>
          <w:sz w:val="24"/>
        </w:rPr>
        <w:t xml:space="preserve">   （四）完成时间及课程配套要求</w:t>
      </w:r>
    </w:p>
    <w:p>
      <w:pPr>
        <w:spacing w:line="340" w:lineRule="exact"/>
        <w:ind w:firstLine="555"/>
        <w:rPr>
          <w:rFonts w:ascii="仿宋_GB2312" w:eastAsia="仿宋_GB2312"/>
          <w:color w:val="auto"/>
          <w:sz w:val="24"/>
        </w:rPr>
      </w:pPr>
      <w:r>
        <w:rPr>
          <w:rFonts w:hint="eastAsia" w:ascii="仿宋_GB2312" w:eastAsia="仿宋_GB2312"/>
          <w:color w:val="auto"/>
          <w:sz w:val="24"/>
        </w:rPr>
        <w:t xml:space="preserve"> 1.中标单位须在学校提出建设方案之日起3个月内完成项目。</w:t>
      </w:r>
    </w:p>
    <w:p>
      <w:pPr>
        <w:spacing w:line="340" w:lineRule="exact"/>
        <w:ind w:firstLine="555"/>
        <w:rPr>
          <w:rFonts w:ascii="仿宋_GB2312" w:eastAsia="仿宋_GB2312"/>
          <w:color w:val="auto"/>
          <w:sz w:val="24"/>
        </w:rPr>
      </w:pPr>
      <w:r>
        <w:rPr>
          <w:rFonts w:hint="eastAsia" w:ascii="仿宋_GB2312" w:eastAsia="仿宋_GB2312"/>
          <w:color w:val="auto"/>
          <w:sz w:val="24"/>
        </w:rPr>
        <w:t xml:space="preserve"> 2.必须提供课程学习平台及移动端学习服务。保证课程拍摄制作完毕后，在平台上线，实现在线选课、视频播放、讨论答疑、作业、考试、评估等功能。同时支持手机移动端观看学习课程。</w:t>
      </w:r>
    </w:p>
    <w:p>
      <w:pPr>
        <w:spacing w:line="340" w:lineRule="exact"/>
        <w:ind w:firstLine="555"/>
        <w:rPr>
          <w:rFonts w:ascii="仿宋_GB2312" w:eastAsia="仿宋_GB2312"/>
          <w:color w:val="auto"/>
          <w:sz w:val="24"/>
        </w:rPr>
      </w:pPr>
      <w:r>
        <w:rPr>
          <w:rFonts w:hint="eastAsia" w:ascii="仿宋_GB2312" w:eastAsia="仿宋_GB2312"/>
          <w:color w:val="auto"/>
          <w:sz w:val="24"/>
        </w:rPr>
        <w:t xml:space="preserve"> 3.制作方须拥有丰富的资源库，课程制作所需的素材，包括文字，图片或视频等所有材料无知识产权纠纷。我校提供的素材及各类教学资源的知识产权归我校所有。</w:t>
      </w:r>
    </w:p>
    <w:p>
      <w:pPr>
        <w:spacing w:line="340" w:lineRule="exact"/>
        <w:ind w:firstLine="555"/>
        <w:rPr>
          <w:rFonts w:ascii="仿宋_GB2312" w:eastAsia="仿宋_GB2312"/>
          <w:color w:val="auto"/>
          <w:sz w:val="24"/>
        </w:rPr>
      </w:pPr>
      <w:r>
        <w:rPr>
          <w:rFonts w:hint="eastAsia" w:ascii="仿宋_GB2312" w:eastAsia="仿宋_GB2312"/>
          <w:color w:val="auto"/>
          <w:sz w:val="24"/>
        </w:rPr>
        <w:t xml:space="preserve"> 4.必须满足招标文件第五条款中所要求的主要功能及参数要求。</w:t>
      </w:r>
    </w:p>
    <w:p>
      <w:pPr>
        <w:tabs>
          <w:tab w:val="left" w:pos="945"/>
        </w:tabs>
        <w:spacing w:line="460" w:lineRule="exact"/>
        <w:ind w:firstLine="360" w:firstLineChars="150"/>
        <w:rPr>
          <w:rFonts w:ascii="仿宋_GB2312" w:eastAsia="仿宋_GB2312"/>
          <w:b/>
          <w:color w:val="auto"/>
          <w:sz w:val="24"/>
        </w:rPr>
      </w:pPr>
      <w:r>
        <w:rPr>
          <w:rFonts w:hint="eastAsia" w:ascii="仿宋_GB2312" w:eastAsia="仿宋_GB2312"/>
          <w:color w:val="auto"/>
          <w:sz w:val="24"/>
        </w:rPr>
        <w:t xml:space="preserve"> </w:t>
      </w:r>
      <w:r>
        <w:rPr>
          <w:rFonts w:hint="eastAsia" w:ascii="仿宋_GB2312" w:hAnsi="宋体" w:eastAsia="仿宋_GB2312"/>
          <w:b/>
          <w:color w:val="auto"/>
          <w:sz w:val="24"/>
        </w:rPr>
        <w:t>六</w:t>
      </w:r>
      <w:r>
        <w:rPr>
          <w:rFonts w:hint="eastAsia" w:ascii="仿宋_GB2312" w:eastAsia="仿宋_GB2312"/>
          <w:b/>
          <w:color w:val="auto"/>
          <w:sz w:val="24"/>
        </w:rPr>
        <w:t>、资质及服务要求</w:t>
      </w:r>
    </w:p>
    <w:p>
      <w:pPr>
        <w:spacing w:line="340" w:lineRule="exact"/>
        <w:ind w:firstLine="555"/>
        <w:rPr>
          <w:rFonts w:ascii="仿宋_GB2312" w:eastAsia="仿宋_GB2312"/>
          <w:color w:val="auto"/>
          <w:sz w:val="24"/>
        </w:rPr>
      </w:pPr>
      <w:r>
        <w:rPr>
          <w:rFonts w:hint="eastAsia" w:ascii="仿宋_GB2312" w:eastAsia="仿宋_GB2312"/>
          <w:color w:val="auto"/>
          <w:sz w:val="24"/>
        </w:rPr>
        <w:t>1. 投标单位能提供本项目要求的服务，注册资金100万元以上，独立法人，具有软件及相关行业资质、企业认证及证明材料（需附复印件，原件备查）。</w:t>
      </w:r>
    </w:p>
    <w:p>
      <w:pPr>
        <w:spacing w:line="340" w:lineRule="exact"/>
        <w:ind w:firstLine="555"/>
        <w:rPr>
          <w:rFonts w:ascii="仿宋_GB2312" w:eastAsia="仿宋_GB2312"/>
          <w:color w:val="auto"/>
          <w:sz w:val="24"/>
        </w:rPr>
      </w:pPr>
      <w:r>
        <w:rPr>
          <w:rFonts w:hint="eastAsia" w:ascii="仿宋_GB2312" w:eastAsia="仿宋_GB2312"/>
          <w:color w:val="auto"/>
          <w:sz w:val="24"/>
        </w:rPr>
        <w:t>2.投标单位须具有丰富的开发设计、销售和服务经验，有完成本项目的能力，并提供相关业绩及证明材料（提供近三年不低于3个与该项目相关的成功案例，需附合同复印件，原件备查）。</w:t>
      </w:r>
    </w:p>
    <w:p>
      <w:pPr>
        <w:spacing w:line="340" w:lineRule="exact"/>
        <w:ind w:firstLine="555"/>
        <w:rPr>
          <w:rFonts w:ascii="仿宋_GB2312" w:eastAsia="仿宋_GB2312"/>
          <w:color w:val="auto"/>
          <w:sz w:val="24"/>
        </w:rPr>
      </w:pPr>
      <w:r>
        <w:rPr>
          <w:rFonts w:hint="eastAsia" w:ascii="仿宋_GB2312" w:eastAsia="仿宋_GB2312"/>
          <w:color w:val="auto"/>
          <w:sz w:val="24"/>
        </w:rPr>
        <w:t>3. 投标单位所投产品如为代理产品应有该品牌代理资质和原厂授权，须提供资质证明材料和厂家授权书、售后服务承诺等材料的原件、复印件。</w:t>
      </w:r>
    </w:p>
    <w:p>
      <w:pPr>
        <w:spacing w:line="340" w:lineRule="exact"/>
        <w:ind w:firstLine="555"/>
        <w:rPr>
          <w:rFonts w:ascii="仿宋_GB2312" w:eastAsia="仿宋_GB2312"/>
          <w:color w:val="auto"/>
          <w:sz w:val="24"/>
        </w:rPr>
      </w:pPr>
      <w:r>
        <w:rPr>
          <w:rFonts w:hint="eastAsia" w:ascii="仿宋_GB2312" w:eastAsia="仿宋_GB2312"/>
          <w:color w:val="auto"/>
          <w:sz w:val="24"/>
        </w:rPr>
        <w:t>4．投标单位负责将全新原包装产品交付至招标方指定位置，所有运输及安装调试和培训工作均由中标方负责并在规定时间内完成，所有费用由中标方承担。</w:t>
      </w:r>
    </w:p>
    <w:p>
      <w:pPr>
        <w:spacing w:line="340" w:lineRule="exact"/>
        <w:ind w:firstLine="555"/>
        <w:rPr>
          <w:rFonts w:ascii="仿宋_GB2312" w:eastAsia="仿宋_GB2312"/>
          <w:color w:val="auto"/>
          <w:sz w:val="24"/>
        </w:rPr>
      </w:pPr>
      <w:r>
        <w:rPr>
          <w:rFonts w:hint="eastAsia" w:ascii="仿宋_GB2312" w:eastAsia="仿宋_GB2312"/>
          <w:color w:val="auto"/>
          <w:sz w:val="24"/>
        </w:rPr>
        <w:t>5．投标单位须提供该产品的1年及以上免费质保，及本产品的终身免费维护和软件免费升级服务，质保期自招标方验收合格之日起开始计算。质保期内由中标方提供免费上门服务。</w:t>
      </w:r>
    </w:p>
    <w:p>
      <w:pPr>
        <w:spacing w:line="340" w:lineRule="exact"/>
        <w:ind w:firstLine="555"/>
        <w:rPr>
          <w:rFonts w:ascii="仿宋_GB2312" w:eastAsia="仿宋_GB2312"/>
          <w:color w:val="auto"/>
          <w:sz w:val="24"/>
        </w:rPr>
      </w:pPr>
      <w:r>
        <w:rPr>
          <w:rFonts w:hint="eastAsia" w:ascii="仿宋_GB2312" w:eastAsia="仿宋_GB2312"/>
          <w:color w:val="auto"/>
          <w:sz w:val="24"/>
        </w:rPr>
        <w:t>6.投标单位对招标单位的维修须在24小时内响应，48小时内解决，如超过48小时仍不能解决，由中标方在48小时内提供性能不低于故障产品的备用产品，否则每推迟一天应向招标单位支付人民币500元违约金。</w:t>
      </w:r>
    </w:p>
    <w:p>
      <w:pPr>
        <w:spacing w:line="340" w:lineRule="exact"/>
        <w:ind w:firstLine="555"/>
        <w:rPr>
          <w:rFonts w:ascii="仿宋_GB2312" w:eastAsia="仿宋_GB2312"/>
          <w:color w:val="auto"/>
          <w:sz w:val="24"/>
        </w:rPr>
      </w:pPr>
      <w:r>
        <w:rPr>
          <w:rFonts w:hint="eastAsia" w:ascii="仿宋_GB2312" w:eastAsia="仿宋_GB2312"/>
          <w:color w:val="auto"/>
          <w:sz w:val="24"/>
        </w:rPr>
        <w:t>7．投标单位承诺的服务中如涉及第三方提供的，由中标方负责协调。</w:t>
      </w:r>
    </w:p>
    <w:p>
      <w:pPr>
        <w:spacing w:line="340" w:lineRule="exact"/>
        <w:ind w:firstLine="555"/>
        <w:rPr>
          <w:rFonts w:ascii="仿宋_GB2312" w:eastAsia="仿宋_GB2312"/>
          <w:color w:val="auto"/>
          <w:sz w:val="24"/>
        </w:rPr>
      </w:pPr>
      <w:r>
        <w:rPr>
          <w:rFonts w:hint="eastAsia" w:ascii="仿宋_GB2312" w:eastAsia="仿宋_GB2312"/>
          <w:color w:val="auto"/>
          <w:sz w:val="24"/>
        </w:rPr>
        <w:t>8．如在安装调试过程中涉及施工，投标单位须文明施工，做到工完场地清。</w:t>
      </w:r>
    </w:p>
    <w:p>
      <w:pPr>
        <w:spacing w:line="460" w:lineRule="exact"/>
        <w:rPr>
          <w:rFonts w:ascii="仿宋_GB2312" w:hAnsi="宋体" w:eastAsia="仿宋_GB2312" w:cs="Arial"/>
          <w:b/>
          <w:color w:val="auto"/>
          <w:sz w:val="24"/>
        </w:rPr>
      </w:pPr>
      <w:r>
        <w:rPr>
          <w:rFonts w:hint="eastAsia" w:ascii="仿宋_GB2312" w:eastAsia="仿宋_GB2312"/>
          <w:color w:val="auto"/>
          <w:sz w:val="24"/>
        </w:rPr>
        <w:t xml:space="preserve">    </w:t>
      </w:r>
      <w:r>
        <w:rPr>
          <w:rFonts w:hint="eastAsia" w:ascii="仿宋_GB2312" w:hAnsi="宋体" w:eastAsia="仿宋_GB2312" w:cs="Arial"/>
          <w:b/>
          <w:color w:val="auto"/>
          <w:sz w:val="24"/>
        </w:rPr>
        <w:t>七、投标须知</w:t>
      </w:r>
    </w:p>
    <w:p>
      <w:pPr>
        <w:spacing w:line="400" w:lineRule="exact"/>
        <w:ind w:firstLine="555"/>
        <w:rPr>
          <w:rFonts w:ascii="仿宋_GB2312" w:hAnsi="仿宋_GB2312" w:eastAsia="仿宋_GB2312"/>
          <w:color w:val="auto"/>
          <w:sz w:val="24"/>
        </w:rPr>
      </w:pPr>
      <w:r>
        <w:rPr>
          <w:rFonts w:hint="eastAsia" w:ascii="仿宋_GB2312" w:hAnsi="仿宋_GB2312" w:eastAsia="仿宋_GB2312"/>
          <w:color w:val="auto"/>
          <w:sz w:val="24"/>
        </w:rPr>
        <w:t>1．投标单位参加政府采购活动应当符合中华人民共和国《政府采购法》、《招投标法》、《合同法》和《反不正当竞争法》等有关法律、法规；如有违反，将视为不合格供应商，其投标文件无效。</w:t>
      </w:r>
    </w:p>
    <w:p>
      <w:pPr>
        <w:spacing w:line="400" w:lineRule="exact"/>
        <w:ind w:firstLine="555"/>
        <w:rPr>
          <w:rFonts w:ascii="仿宋_GB2312" w:hAnsi="仿宋_GB2312" w:eastAsia="仿宋_GB2312" w:cs="Arial"/>
          <w:color w:val="auto"/>
          <w:sz w:val="24"/>
        </w:rPr>
      </w:pPr>
      <w:r>
        <w:rPr>
          <w:rFonts w:hint="eastAsia" w:ascii="仿宋_GB2312" w:hAnsi="仿宋_GB2312" w:eastAsia="仿宋_GB2312"/>
          <w:color w:val="auto"/>
          <w:sz w:val="24"/>
        </w:rPr>
        <w:t>2．本次招标不接受联合体投标，中标后不得转包。</w:t>
      </w:r>
    </w:p>
    <w:p>
      <w:pPr>
        <w:spacing w:line="400" w:lineRule="exact"/>
        <w:ind w:firstLine="555"/>
        <w:rPr>
          <w:rFonts w:ascii="仿宋_GB2312" w:hAnsi="仿宋_GB2312" w:eastAsia="仿宋_GB2312"/>
          <w:color w:val="auto"/>
          <w:sz w:val="24"/>
        </w:rPr>
      </w:pPr>
      <w:r>
        <w:rPr>
          <w:rFonts w:hint="eastAsia" w:ascii="仿宋_GB2312" w:hAnsi="仿宋_GB2312" w:eastAsia="仿宋_GB2312"/>
          <w:color w:val="auto"/>
          <w:sz w:val="24"/>
        </w:rPr>
        <w:t>3．投标单位参加本项目的报价，即被认为接受了本采购文件的所有条款和规定。</w:t>
      </w:r>
    </w:p>
    <w:p>
      <w:pPr>
        <w:spacing w:line="400" w:lineRule="exact"/>
        <w:ind w:firstLine="555"/>
        <w:rPr>
          <w:rFonts w:ascii="仿宋_GB2312" w:hAnsi="仿宋_GB2312" w:eastAsia="仿宋_GB2312"/>
          <w:color w:val="auto"/>
          <w:sz w:val="24"/>
        </w:rPr>
      </w:pPr>
      <w:r>
        <w:rPr>
          <w:rFonts w:hint="eastAsia" w:ascii="仿宋_GB2312" w:hAnsi="仿宋_GB2312" w:eastAsia="仿宋_GB2312"/>
          <w:color w:val="auto"/>
          <w:sz w:val="24"/>
        </w:rPr>
        <w:t>4．每个分包只能有一个投标报价，不接受有选择的报价。投标单位须对各分包的全部货物进行投标报价，否则报价无效。上述货物的交货时间由投标单位根据自身情况填报（至少满足招标单位最迟交货时间）。</w:t>
      </w:r>
    </w:p>
    <w:p>
      <w:pPr>
        <w:tabs>
          <w:tab w:val="left" w:pos="1050"/>
        </w:tabs>
        <w:spacing w:line="400" w:lineRule="exact"/>
        <w:ind w:firstLine="600" w:firstLineChars="250"/>
        <w:jc w:val="left"/>
        <w:rPr>
          <w:rFonts w:ascii="仿宋_GB2312" w:hAnsi="仿宋_GB2312" w:eastAsia="仿宋_GB2312"/>
          <w:color w:val="auto"/>
          <w:sz w:val="24"/>
        </w:rPr>
      </w:pPr>
      <w:r>
        <w:rPr>
          <w:rFonts w:hint="eastAsia" w:ascii="仿宋_GB2312" w:hAnsi="宋体" w:eastAsia="仿宋_GB2312"/>
          <w:color w:val="auto"/>
          <w:sz w:val="24"/>
        </w:rPr>
        <w:t>5．投标单位应认真审阅本采购文件，并对自身的工作负责，</w:t>
      </w:r>
      <w:r>
        <w:rPr>
          <w:rFonts w:hint="eastAsia" w:ascii="仿宋_GB2312" w:hAnsi="仿宋_GB2312" w:eastAsia="仿宋_GB2312"/>
          <w:color w:val="auto"/>
          <w:sz w:val="24"/>
        </w:rPr>
        <w:t>报价一经招标单位确认，须无条件履约。投标单位报价后如果违约，其投标保证金不予退还。</w:t>
      </w:r>
    </w:p>
    <w:p>
      <w:pPr>
        <w:spacing w:line="400" w:lineRule="exact"/>
        <w:ind w:firstLine="555"/>
        <w:rPr>
          <w:rFonts w:ascii="仿宋_GB2312" w:eastAsia="仿宋_GB2312"/>
          <w:color w:val="auto"/>
          <w:sz w:val="24"/>
        </w:rPr>
      </w:pPr>
      <w:r>
        <w:rPr>
          <w:rFonts w:hint="eastAsia" w:ascii="仿宋_GB2312" w:eastAsia="仿宋_GB2312"/>
          <w:color w:val="auto"/>
          <w:sz w:val="24"/>
        </w:rPr>
        <w:t>6．投标单位提供的产品必须是全新的、从未使用过的原装合格产品。成交后，招标单位保留对中标单位所投的设备进行测试的权利，若不符合采购文件要求，将不予接受。</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7.投标文件：</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（1）</w:t>
      </w:r>
      <w:r>
        <w:rPr>
          <w:rFonts w:hint="eastAsia" w:ascii="仿宋_GB2312" w:eastAsia="仿宋_GB2312"/>
          <w:color w:val="auto"/>
          <w:sz w:val="24"/>
        </w:rPr>
        <w:t>投标函；</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color w:val="auto"/>
          <w:sz w:val="24"/>
        </w:rPr>
        <w:t>法人资格证明及授权委托书原件（格式见附页）及授权委托人身份证原件、复印件</w:t>
      </w:r>
      <w:r>
        <w:rPr>
          <w:rFonts w:hint="eastAsia" w:ascii="仿宋_GB2312" w:eastAsia="仿宋_GB2312"/>
          <w:color w:val="auto"/>
          <w:sz w:val="24"/>
        </w:rPr>
        <w:t>；</w:t>
      </w:r>
    </w:p>
    <w:p>
      <w:pPr>
        <w:spacing w:line="400" w:lineRule="exact"/>
        <w:ind w:left="120" w:leftChars="57" w:firstLine="360" w:firstLineChars="150"/>
        <w:rPr>
          <w:rFonts w:ascii="仿宋_GB2312" w:eastAsia="仿宋_GB2312"/>
          <w:color w:val="auto"/>
          <w:sz w:val="24"/>
        </w:rPr>
      </w:pPr>
      <w:r>
        <w:rPr>
          <w:rFonts w:hint="eastAsia" w:ascii="仿宋_GB2312" w:eastAsia="仿宋_GB2312"/>
          <w:color w:val="auto"/>
          <w:sz w:val="24"/>
        </w:rPr>
        <w:t>（3）</w:t>
      </w:r>
      <w:r>
        <w:rPr>
          <w:rFonts w:hint="eastAsia" w:ascii="仿宋_GB2312" w:eastAsia="仿宋_GB2312"/>
          <w:color w:val="auto"/>
          <w:sz w:val="24"/>
        </w:rPr>
        <w:t>企业相关资质文件及证明材料（营业执照、税务登记证、质量体系认证、行业相关资质证书、投标单位业绩等相关材料）；</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（4）投标报价表、</w:t>
      </w:r>
      <w:r>
        <w:rPr>
          <w:rFonts w:hint="eastAsia" w:ascii="仿宋_GB2312" w:eastAsia="仿宋_GB2312"/>
          <w:color w:val="auto"/>
          <w:sz w:val="24"/>
        </w:rPr>
        <w:t>投标报价明细表、技术要求响应表、改造、施工、验收方案；</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（5）报价产品的详细参数及说明；</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（6）相关服务承诺（书面材料，格式自定）；</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（7）投标书的电子文本。</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8.投标文件数量及密封要求：</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上述材料壹式叁份，正本壹份，副本贰份，装订后密封在投标文件袋中，未按要求提供，将不予授标（电子版投标书由投标单位保管）。</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9. 投标报名截止时间：</w:t>
      </w:r>
    </w:p>
    <w:p>
      <w:pPr>
        <w:pStyle w:val="6"/>
        <w:spacing w:line="400" w:lineRule="exact"/>
        <w:ind w:firstLine="480" w:firstLineChars="200"/>
        <w:rPr>
          <w:rFonts w:ascii="仿宋_GB2312" w:eastAsia="仿宋_GB2312"/>
          <w:color w:val="auto"/>
          <w:sz w:val="24"/>
          <w:szCs w:val="24"/>
        </w:rPr>
      </w:pPr>
      <w:r>
        <w:rPr>
          <w:rFonts w:hint="eastAsia" w:ascii="仿宋_GB2312" w:hAnsi="Times New Roman" w:eastAsia="仿宋_GB2312"/>
          <w:color w:val="auto"/>
          <w:sz w:val="24"/>
          <w:szCs w:val="24"/>
        </w:rPr>
        <w:t>2019年7月17日（星期三）上午11:00（北京时间）前。投</w:t>
      </w:r>
      <w:r>
        <w:rPr>
          <w:rFonts w:hint="eastAsia" w:ascii="仿宋_GB2312" w:eastAsia="仿宋_GB2312"/>
          <w:color w:val="auto"/>
          <w:sz w:val="24"/>
          <w:szCs w:val="24"/>
        </w:rPr>
        <w:t>标单位必须在投标报名截止时间前办理完交纳保证金、签名报到、提交质疑文件（质疑文件须有明确的请求和证明材料）以及其它必须完成的事项。</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10.开标时间、地点和要求：</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开标时间: 2019年7月19日（星期五）上午9:00（北京时间）</w:t>
      </w:r>
    </w:p>
    <w:p>
      <w:pPr>
        <w:spacing w:line="400" w:lineRule="exact"/>
        <w:ind w:firstLine="480" w:firstLineChars="200"/>
        <w:rPr>
          <w:rFonts w:ascii="仿宋_GB2312" w:eastAsia="仿宋_GB2312"/>
          <w:color w:val="auto"/>
          <w:sz w:val="24"/>
        </w:rPr>
      </w:pPr>
      <w:r>
        <w:rPr>
          <w:rFonts w:hint="eastAsia" w:ascii="仿宋_GB2312" w:eastAsia="仿宋_GB2312"/>
          <w:color w:val="auto"/>
          <w:sz w:val="24"/>
        </w:rPr>
        <w:t>地点：江苏省南京市北京西路77号江苏第二师范学院。</w:t>
      </w:r>
    </w:p>
    <w:p>
      <w:pPr>
        <w:spacing w:line="400" w:lineRule="exact"/>
        <w:ind w:firstLine="480" w:firstLineChars="200"/>
        <w:rPr>
          <w:rFonts w:ascii="仿宋_GB2312" w:eastAsia="仿宋_GB2312"/>
          <w:b/>
          <w:color w:val="auto"/>
          <w:sz w:val="24"/>
          <w:u w:val="single"/>
        </w:rPr>
      </w:pPr>
      <w:r>
        <w:rPr>
          <w:rFonts w:hint="eastAsia" w:ascii="仿宋_GB2312" w:eastAsia="仿宋_GB2312"/>
          <w:color w:val="auto"/>
          <w:sz w:val="24"/>
        </w:rPr>
        <w:t>要求：请投标单位法定代表人持本人身份证件和营业执照复印件（或授权代表参加，须同时持本人身份证件和法人授权委托书原件）及电子版投标书</w:t>
      </w:r>
      <w:r>
        <w:rPr>
          <w:rFonts w:hint="eastAsia" w:ascii="仿宋_GB2312" w:eastAsia="仿宋_GB2312"/>
          <w:b/>
          <w:color w:val="auto"/>
          <w:sz w:val="24"/>
          <w:u w:val="single"/>
        </w:rPr>
        <w:t>提前30分钟到开标地点参加开标，迟到者视为自动放弃。</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11.中标单位确定办法：</w:t>
      </w:r>
    </w:p>
    <w:p>
      <w:pPr>
        <w:pStyle w:val="6"/>
        <w:spacing w:line="400" w:lineRule="exact"/>
        <w:ind w:firstLine="480" w:firstLineChars="200"/>
        <w:rPr>
          <w:rFonts w:ascii="仿宋_GB2312" w:hAnsi="Times New Roman" w:eastAsia="仿宋_GB2312"/>
          <w:color w:val="auto"/>
          <w:sz w:val="24"/>
          <w:szCs w:val="24"/>
        </w:rPr>
      </w:pPr>
      <w:r>
        <w:rPr>
          <w:rFonts w:hint="eastAsia" w:ascii="仿宋_GB2312" w:hAnsi="Times New Roman" w:eastAsia="仿宋_GB2312"/>
          <w:color w:val="auto"/>
          <w:sz w:val="24"/>
          <w:szCs w:val="24"/>
        </w:rPr>
        <w:t>（1）投标截止时间后，招标单位将根据“符合采购需求、质量和服务相等且报价最低的原则”组织评标专家组对投标项目进行综合评议、打分后确定中标单位；并在江苏第二师范学院招标办网站公告（网址：http://zbbgs.jsie.edu.cn/）。评分依据为投标单位的投标文件内容和评标结果。报价合计与明细价不相符的以报价合计数为准；报价中如有大小写不相符的以大写数字为准，未按要求填写报价合计数的将不予唱标。</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（2）评标专家组成员在评标专家库中抽取。</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（3）招标人对评标的过程和结果没有解释的义务。</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12．投标保证金要求：</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投标单位须在签名报到前递交投标保证金现金人民币玖仟元整。</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请投标单位将投标保证金交至浦发银行北京西路支行，账号：077454292000283；户名：江苏第二师范学院。交款后凭银行回单到我院财务处（南京市北京西路77号教科研大楼701室）开具交款收据，凭收据到我院招标办办理投标签到。中标单位的报价保证金将自动转为履约保证金,非中标单位的投标保证金将在投标活动结束后无息退回。</w:t>
      </w:r>
    </w:p>
    <w:p>
      <w:pPr>
        <w:pStyle w:val="6"/>
        <w:spacing w:line="400" w:lineRule="exact"/>
        <w:ind w:firstLine="480" w:firstLineChars="200"/>
        <w:rPr>
          <w:rFonts w:ascii="仿宋_GB2312" w:eastAsia="仿宋_GB2312"/>
          <w:color w:val="auto"/>
        </w:rPr>
      </w:pPr>
      <w:r>
        <w:rPr>
          <w:rFonts w:hint="eastAsia" w:ascii="仿宋_GB2312" w:eastAsia="仿宋_GB2312"/>
          <w:color w:val="auto"/>
          <w:sz w:val="24"/>
          <w:szCs w:val="24"/>
        </w:rPr>
        <w:t>发生下列情况之一,报价保证金将不予退回:</w:t>
      </w:r>
      <w:r>
        <w:rPr>
          <w:rFonts w:hint="eastAsia" w:ascii="仿宋_GB2312" w:eastAsia="仿宋_GB2312"/>
          <w:color w:val="auto"/>
        </w:rPr>
        <w:t xml:space="preserve"> </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（1）有串标或不正当竞争行为进行投标的；</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（2）不按招标文件和投标书承诺的；</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（3）公开报价后投标单位撤回其报价的；</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szCs w:val="24"/>
        </w:rPr>
        <w:t>（4）成交后不按通知规定的时间、地点与采购单位签订合同的。</w:t>
      </w:r>
    </w:p>
    <w:p>
      <w:pPr>
        <w:pStyle w:val="6"/>
        <w:spacing w:line="400" w:lineRule="exact"/>
        <w:ind w:firstLine="480" w:firstLineChars="200"/>
        <w:rPr>
          <w:rFonts w:ascii="仿宋_GB2312" w:eastAsia="仿宋_GB2312"/>
          <w:color w:val="auto"/>
          <w:sz w:val="24"/>
          <w:szCs w:val="24"/>
        </w:rPr>
      </w:pPr>
      <w:r>
        <w:rPr>
          <w:rFonts w:hint="eastAsia" w:ascii="仿宋_GB2312" w:eastAsia="仿宋_GB2312"/>
          <w:color w:val="auto"/>
          <w:sz w:val="24"/>
        </w:rPr>
        <w:t>13．</w:t>
      </w:r>
      <w:r>
        <w:rPr>
          <w:rFonts w:hint="eastAsia" w:ascii="仿宋_GB2312" w:hAnsi="新宋体" w:eastAsia="仿宋_GB2312"/>
          <w:color w:val="auto"/>
          <w:sz w:val="24"/>
        </w:rPr>
        <w:t>其它事项：</w:t>
      </w:r>
    </w:p>
    <w:p>
      <w:pPr>
        <w:pStyle w:val="6"/>
        <w:spacing w:line="400" w:lineRule="exact"/>
        <w:ind w:firstLine="480" w:firstLineChars="200"/>
        <w:rPr>
          <w:rFonts w:ascii="仿宋_GB2312" w:eastAsia="仿宋_GB2312"/>
          <w:color w:val="auto"/>
          <w:sz w:val="24"/>
        </w:rPr>
      </w:pPr>
      <w:r>
        <w:rPr>
          <w:rFonts w:hint="eastAsia" w:ascii="仿宋_GB2312" w:eastAsia="仿宋_GB2312"/>
          <w:color w:val="auto"/>
          <w:sz w:val="24"/>
          <w:szCs w:val="24"/>
        </w:rPr>
        <w:t>参加本项目投标的单位即日起至7月17日上午11：00前携本单位相关资质材料（营业执照、税务登记证及相关行业资质等材料）到江苏第二师范学院招标办公室办理投标报名手续，资格审核通过后到财务处缴纳报名资料费300元整。联系人：臧老</w:t>
      </w:r>
      <w:r>
        <w:rPr>
          <w:rFonts w:hint="eastAsia" w:ascii="仿宋_GB2312" w:eastAsia="仿宋_GB2312"/>
          <w:color w:val="auto"/>
          <w:sz w:val="24"/>
        </w:rPr>
        <w:t>师；联系方式：江苏第二师范学院招标办，电话（传真）：025-83758155。</w:t>
      </w:r>
    </w:p>
    <w:p>
      <w:pPr>
        <w:spacing w:line="460" w:lineRule="exact"/>
        <w:ind w:firstLine="944" w:firstLineChars="392"/>
        <w:rPr>
          <w:rFonts w:ascii="仿宋_GB2312" w:eastAsia="仿宋_GB2312"/>
          <w:b/>
          <w:bCs/>
          <w:color w:val="auto"/>
          <w:sz w:val="24"/>
        </w:rPr>
      </w:pPr>
      <w:r>
        <w:rPr>
          <w:rFonts w:hint="eastAsia" w:ascii="仿宋_GB2312" w:eastAsia="仿宋_GB2312"/>
          <w:b/>
          <w:bCs/>
          <w:color w:val="auto"/>
          <w:sz w:val="24"/>
        </w:rPr>
        <w:t>八、售后服务承诺方案</w:t>
      </w:r>
    </w:p>
    <w:p>
      <w:pPr>
        <w:spacing w:line="460" w:lineRule="exact"/>
        <w:ind w:firstLine="960" w:firstLineChars="400"/>
        <w:rPr>
          <w:rFonts w:ascii="仿宋_GB2312" w:hAnsi="宋体" w:eastAsia="仿宋_GB2312"/>
          <w:color w:val="auto"/>
          <w:sz w:val="24"/>
        </w:rPr>
      </w:pPr>
      <w:r>
        <w:rPr>
          <w:rFonts w:hint="eastAsia" w:ascii="仿宋_GB2312" w:hAnsi="宋体" w:eastAsia="仿宋_GB2312"/>
          <w:color w:val="auto"/>
          <w:sz w:val="24"/>
        </w:rPr>
        <w:t>具体方案和格式由供应商自行拟定。</w:t>
      </w:r>
    </w:p>
    <w:p>
      <w:pPr>
        <w:spacing w:line="460" w:lineRule="exact"/>
        <w:ind w:firstLine="472" w:firstLineChars="196"/>
        <w:rPr>
          <w:rFonts w:ascii="仿宋_GB2312" w:hAnsi="宋体" w:eastAsia="仿宋_GB2312"/>
          <w:b/>
          <w:color w:val="auto"/>
          <w:sz w:val="24"/>
        </w:rPr>
      </w:pPr>
      <w:r>
        <w:rPr>
          <w:rFonts w:hint="eastAsia" w:ascii="仿宋_GB2312" w:hAnsi="宋体" w:eastAsia="仿宋_GB2312"/>
          <w:b/>
          <w:color w:val="auto"/>
          <w:sz w:val="24"/>
        </w:rPr>
        <w:t>投标单位（公章）：                              授权代表（签字）:</w:t>
      </w:r>
    </w:p>
    <w:p>
      <w:pPr>
        <w:spacing w:line="460" w:lineRule="exact"/>
        <w:rPr>
          <w:rFonts w:ascii="仿宋_GB2312" w:hAnsi="宋体" w:eastAsia="仿宋_GB2312"/>
          <w:b/>
          <w:color w:val="auto"/>
          <w:sz w:val="24"/>
        </w:rPr>
      </w:pPr>
    </w:p>
    <w:p>
      <w:pPr>
        <w:spacing w:line="500" w:lineRule="exact"/>
        <w:rPr>
          <w:rFonts w:ascii="仿宋_GB2312" w:hAnsi="宋体" w:eastAsia="仿宋_GB2312"/>
          <w:b/>
          <w:color w:val="auto"/>
          <w:sz w:val="24"/>
        </w:rPr>
      </w:pPr>
    </w:p>
    <w:p>
      <w:pPr>
        <w:spacing w:line="500" w:lineRule="exact"/>
        <w:ind w:firstLine="472" w:firstLineChars="196"/>
        <w:rPr>
          <w:rFonts w:ascii="仿宋_GB2312" w:eastAsia="仿宋_GB2312"/>
          <w:b/>
          <w:bCs/>
          <w:color w:val="auto"/>
          <w:sz w:val="24"/>
        </w:rPr>
      </w:pPr>
      <w:r>
        <w:rPr>
          <w:rFonts w:hint="eastAsia" w:ascii="仿宋_GB2312" w:eastAsia="仿宋_GB2312"/>
          <w:b/>
          <w:bCs/>
          <w:color w:val="auto"/>
          <w:sz w:val="24"/>
        </w:rPr>
        <w:t>九、法人授权委托书（原件）</w:t>
      </w:r>
    </w:p>
    <w:p>
      <w:pPr>
        <w:snapToGrid w:val="0"/>
        <w:spacing w:line="500" w:lineRule="exact"/>
        <w:jc w:val="center"/>
        <w:rPr>
          <w:rFonts w:ascii="仿宋_GB2312" w:eastAsia="仿宋_GB2312"/>
          <w:b/>
          <w:color w:val="auto"/>
          <w:sz w:val="24"/>
        </w:rPr>
      </w:pPr>
      <w:r>
        <w:rPr>
          <w:rFonts w:hint="eastAsia" w:ascii="仿宋_GB2312" w:eastAsia="仿宋_GB2312"/>
          <w:b/>
          <w:color w:val="auto"/>
          <w:sz w:val="24"/>
        </w:rPr>
        <w:t>法人授权委托书</w:t>
      </w:r>
    </w:p>
    <w:p>
      <w:pPr>
        <w:snapToGrid w:val="0"/>
        <w:spacing w:line="500" w:lineRule="exact"/>
        <w:rPr>
          <w:rFonts w:ascii="仿宋_GB2312" w:eastAsia="仿宋_GB2312"/>
          <w:color w:val="auto"/>
          <w:sz w:val="24"/>
        </w:rPr>
      </w:pPr>
      <w:r>
        <w:rPr>
          <w:rFonts w:hint="eastAsia" w:ascii="仿宋_GB2312" w:eastAsia="仿宋_GB2312"/>
          <w:color w:val="auto"/>
          <w:sz w:val="24"/>
        </w:rPr>
        <w:t>江苏第二师范学院招标办：</w:t>
      </w:r>
    </w:p>
    <w:p>
      <w:pPr>
        <w:snapToGrid w:val="0"/>
        <w:spacing w:line="500" w:lineRule="exact"/>
        <w:rPr>
          <w:rFonts w:ascii="仿宋_GB2312" w:eastAsia="仿宋_GB2312"/>
          <w:color w:val="auto"/>
          <w:sz w:val="24"/>
        </w:rPr>
      </w:pPr>
      <w:r>
        <w:rPr>
          <w:rFonts w:hint="eastAsia" w:ascii="仿宋_GB2312" w:eastAsia="仿宋_GB2312"/>
          <w:color w:val="auto"/>
          <w:sz w:val="24"/>
        </w:rPr>
        <w:t xml:space="preserve">    本授权书宣告：</w:t>
      </w:r>
    </w:p>
    <w:p>
      <w:pPr>
        <w:snapToGrid w:val="0"/>
        <w:spacing w:line="500" w:lineRule="exact"/>
        <w:rPr>
          <w:rFonts w:ascii="仿宋_GB2312" w:eastAsia="仿宋_GB2312"/>
          <w:color w:val="auto"/>
          <w:sz w:val="24"/>
          <w:u w:val="single"/>
        </w:rPr>
      </w:pPr>
      <w:r>
        <w:rPr>
          <w:rFonts w:hint="eastAsia" w:ascii="仿宋_GB2312" w:eastAsia="仿宋_GB2312"/>
          <w:color w:val="auto"/>
          <w:sz w:val="24"/>
        </w:rPr>
        <w:t>委托人：</w:t>
      </w:r>
      <w:r>
        <w:rPr>
          <w:rFonts w:hint="eastAsia" w:ascii="仿宋_GB2312" w:eastAsia="仿宋_GB2312"/>
          <w:color w:val="auto"/>
          <w:sz w:val="24"/>
          <w:u w:val="single"/>
        </w:rPr>
        <w:t xml:space="preserve">                                            </w:t>
      </w:r>
    </w:p>
    <w:p>
      <w:pPr>
        <w:snapToGrid w:val="0"/>
        <w:spacing w:line="500" w:lineRule="exact"/>
        <w:rPr>
          <w:rFonts w:ascii="仿宋_GB2312" w:eastAsia="仿宋_GB2312"/>
          <w:color w:val="auto"/>
          <w:sz w:val="24"/>
        </w:rPr>
      </w:pPr>
      <w:r>
        <w:rPr>
          <w:rFonts w:hint="eastAsia" w:ascii="仿宋_GB2312" w:eastAsia="仿宋_GB2312"/>
          <w:color w:val="auto"/>
          <w:sz w:val="24"/>
        </w:rPr>
        <w:t>地    址：</w:t>
      </w:r>
      <w:r>
        <w:rPr>
          <w:rFonts w:hint="eastAsia" w:ascii="仿宋_GB2312" w:eastAsia="仿宋_GB2312"/>
          <w:color w:val="auto"/>
          <w:sz w:val="24"/>
          <w:u w:val="single"/>
        </w:rPr>
        <w:t xml:space="preserve">                     </w:t>
      </w:r>
      <w:r>
        <w:rPr>
          <w:rFonts w:hint="eastAsia" w:ascii="仿宋_GB2312" w:eastAsia="仿宋_GB2312"/>
          <w:color w:val="auto"/>
          <w:sz w:val="24"/>
        </w:rPr>
        <w:t xml:space="preserve"> 法定代表人：</w:t>
      </w:r>
      <w:r>
        <w:rPr>
          <w:rFonts w:hint="eastAsia" w:ascii="仿宋_GB2312" w:eastAsia="仿宋_GB2312"/>
          <w:color w:val="auto"/>
          <w:sz w:val="24"/>
          <w:u w:val="single"/>
        </w:rPr>
        <w:t xml:space="preserve">          </w:t>
      </w:r>
    </w:p>
    <w:p>
      <w:pPr>
        <w:snapToGrid w:val="0"/>
        <w:spacing w:line="500" w:lineRule="exact"/>
        <w:rPr>
          <w:rFonts w:ascii="仿宋_GB2312" w:eastAsia="仿宋_GB2312"/>
          <w:color w:val="auto"/>
          <w:sz w:val="24"/>
        </w:rPr>
      </w:pPr>
      <w:r>
        <w:rPr>
          <w:rFonts w:hint="eastAsia" w:ascii="仿宋_GB2312" w:eastAsia="仿宋_GB2312"/>
          <w:color w:val="auto"/>
          <w:sz w:val="24"/>
        </w:rPr>
        <w:t>受托人：姓名</w:t>
      </w:r>
      <w:r>
        <w:rPr>
          <w:rFonts w:hint="eastAsia" w:ascii="仿宋_GB2312" w:eastAsia="仿宋_GB2312"/>
          <w:color w:val="auto"/>
          <w:sz w:val="24"/>
          <w:u w:val="single"/>
        </w:rPr>
        <w:t xml:space="preserve">      </w:t>
      </w:r>
      <w:r>
        <w:rPr>
          <w:rFonts w:hint="eastAsia" w:ascii="仿宋_GB2312" w:eastAsia="仿宋_GB2312"/>
          <w:color w:val="auto"/>
          <w:sz w:val="24"/>
        </w:rPr>
        <w:t xml:space="preserve"> 性别：</w:t>
      </w:r>
      <w:r>
        <w:rPr>
          <w:rFonts w:hint="eastAsia" w:ascii="仿宋_GB2312" w:eastAsia="仿宋_GB2312"/>
          <w:color w:val="auto"/>
          <w:sz w:val="24"/>
          <w:u w:val="single"/>
        </w:rPr>
        <w:t xml:space="preserve">    </w:t>
      </w:r>
      <w:r>
        <w:rPr>
          <w:rFonts w:hint="eastAsia" w:ascii="仿宋_GB2312" w:eastAsia="仿宋_GB2312"/>
          <w:color w:val="auto"/>
          <w:sz w:val="24"/>
        </w:rPr>
        <w:t xml:space="preserve"> 出生日期：</w:t>
      </w:r>
      <w:r>
        <w:rPr>
          <w:rFonts w:hint="eastAsia" w:ascii="仿宋_GB2312" w:eastAsia="仿宋_GB2312"/>
          <w:color w:val="auto"/>
          <w:sz w:val="24"/>
          <w:u w:val="single"/>
        </w:rPr>
        <w:t xml:space="preserve">    </w:t>
      </w:r>
      <w:r>
        <w:rPr>
          <w:rFonts w:hint="eastAsia" w:ascii="仿宋_GB2312" w:eastAsia="仿宋_GB2312"/>
          <w:color w:val="auto"/>
          <w:sz w:val="24"/>
        </w:rPr>
        <w:t>年</w:t>
      </w:r>
      <w:r>
        <w:rPr>
          <w:rFonts w:hint="eastAsia" w:ascii="仿宋_GB2312" w:eastAsia="仿宋_GB2312"/>
          <w:color w:val="auto"/>
          <w:sz w:val="24"/>
          <w:u w:val="single"/>
        </w:rPr>
        <w:t xml:space="preserve">  </w:t>
      </w:r>
      <w:r>
        <w:rPr>
          <w:rFonts w:hint="eastAsia" w:ascii="仿宋_GB2312" w:eastAsia="仿宋_GB2312"/>
          <w:color w:val="auto"/>
          <w:sz w:val="24"/>
        </w:rPr>
        <w:t>月</w:t>
      </w:r>
      <w:r>
        <w:rPr>
          <w:rFonts w:hint="eastAsia" w:ascii="仿宋_GB2312" w:eastAsia="仿宋_GB2312"/>
          <w:color w:val="auto"/>
          <w:sz w:val="24"/>
          <w:u w:val="single"/>
        </w:rPr>
        <w:t xml:space="preserve">  </w:t>
      </w:r>
      <w:r>
        <w:rPr>
          <w:rFonts w:hint="eastAsia" w:ascii="仿宋_GB2312" w:eastAsia="仿宋_GB2312"/>
          <w:color w:val="auto"/>
          <w:sz w:val="24"/>
        </w:rPr>
        <w:t>日</w:t>
      </w:r>
    </w:p>
    <w:p>
      <w:pPr>
        <w:snapToGrid w:val="0"/>
        <w:spacing w:line="500" w:lineRule="exact"/>
        <w:rPr>
          <w:rFonts w:ascii="仿宋_GB2312" w:eastAsia="仿宋_GB2312"/>
          <w:color w:val="auto"/>
          <w:sz w:val="24"/>
        </w:rPr>
      </w:pPr>
      <w:r>
        <w:rPr>
          <w:rFonts w:hint="eastAsia" w:ascii="仿宋_GB2312" w:eastAsia="仿宋_GB2312"/>
          <w:color w:val="auto"/>
          <w:sz w:val="24"/>
        </w:rPr>
        <w:t>所在单位：</w:t>
      </w:r>
      <w:r>
        <w:rPr>
          <w:rFonts w:hint="eastAsia" w:ascii="仿宋_GB2312" w:eastAsia="仿宋_GB2312"/>
          <w:color w:val="auto"/>
          <w:sz w:val="24"/>
          <w:u w:val="single"/>
        </w:rPr>
        <w:t xml:space="preserve">                            </w:t>
      </w:r>
      <w:r>
        <w:rPr>
          <w:rFonts w:hint="eastAsia" w:ascii="仿宋_GB2312" w:eastAsia="仿宋_GB2312"/>
          <w:color w:val="auto"/>
          <w:sz w:val="24"/>
        </w:rPr>
        <w:t>职务：</w:t>
      </w:r>
      <w:r>
        <w:rPr>
          <w:rFonts w:hint="eastAsia" w:ascii="仿宋_GB2312" w:eastAsia="仿宋_GB2312"/>
          <w:color w:val="auto"/>
          <w:sz w:val="24"/>
          <w:u w:val="single"/>
        </w:rPr>
        <w:t xml:space="preserve">           </w:t>
      </w:r>
    </w:p>
    <w:p>
      <w:pPr>
        <w:snapToGrid w:val="0"/>
        <w:spacing w:line="500" w:lineRule="exact"/>
        <w:rPr>
          <w:rFonts w:ascii="仿宋_GB2312" w:eastAsia="仿宋_GB2312"/>
          <w:color w:val="auto"/>
          <w:sz w:val="24"/>
        </w:rPr>
      </w:pPr>
      <w:r>
        <w:rPr>
          <w:rFonts w:hint="eastAsia" w:ascii="仿宋_GB2312" w:eastAsia="仿宋_GB2312"/>
          <w:color w:val="auto"/>
          <w:sz w:val="24"/>
        </w:rPr>
        <w:t>身 份 证：</w:t>
      </w:r>
      <w:r>
        <w:rPr>
          <w:rFonts w:hint="eastAsia" w:ascii="仿宋_GB2312" w:eastAsia="仿宋_GB2312"/>
          <w:color w:val="auto"/>
          <w:sz w:val="24"/>
          <w:u w:val="single"/>
        </w:rPr>
        <w:t xml:space="preserve">                </w:t>
      </w:r>
      <w:r>
        <w:rPr>
          <w:rFonts w:hint="eastAsia" w:ascii="仿宋_GB2312" w:eastAsia="仿宋_GB2312"/>
          <w:color w:val="auto"/>
          <w:sz w:val="24"/>
        </w:rPr>
        <w:t>联系方式:</w:t>
      </w:r>
      <w:r>
        <w:rPr>
          <w:rFonts w:hint="eastAsia" w:ascii="仿宋_GB2312" w:eastAsia="仿宋_GB2312"/>
          <w:color w:val="auto"/>
          <w:sz w:val="24"/>
          <w:u w:val="single"/>
        </w:rPr>
        <w:t xml:space="preserve">                    </w:t>
      </w:r>
    </w:p>
    <w:p>
      <w:pPr>
        <w:autoSpaceDE w:val="0"/>
        <w:autoSpaceDN w:val="0"/>
        <w:adjustRightInd w:val="0"/>
        <w:spacing w:line="500" w:lineRule="exact"/>
        <w:ind w:firstLine="600" w:firstLineChars="250"/>
        <w:rPr>
          <w:rFonts w:ascii="仿宋_GB2312" w:eastAsia="仿宋_GB2312"/>
          <w:color w:val="auto"/>
          <w:sz w:val="24"/>
        </w:rPr>
      </w:pPr>
      <w:r>
        <w:rPr>
          <w:rFonts w:hint="eastAsia" w:ascii="仿宋_GB2312" w:eastAsia="仿宋_GB2312"/>
          <w:color w:val="auto"/>
          <w:sz w:val="24"/>
        </w:rPr>
        <w:t>兹委托受托人</w:t>
      </w:r>
      <w:r>
        <w:rPr>
          <w:rFonts w:hint="eastAsia" w:ascii="仿宋_GB2312" w:eastAsia="仿宋_GB2312"/>
          <w:color w:val="auto"/>
          <w:sz w:val="24"/>
          <w:u w:val="single"/>
        </w:rPr>
        <w:t xml:space="preserve">              </w:t>
      </w:r>
      <w:r>
        <w:rPr>
          <w:rFonts w:hint="eastAsia" w:ascii="仿宋_GB2312" w:eastAsia="仿宋_GB2312"/>
          <w:color w:val="auto"/>
          <w:sz w:val="24"/>
        </w:rPr>
        <w:t>合法地代表我单位参加江苏第二师范学院组织的（采购编号为：</w:t>
      </w:r>
      <w:r>
        <w:rPr>
          <w:rFonts w:hint="eastAsia" w:ascii="仿宋_GB2312" w:hAnsi="宋体" w:eastAsia="仿宋_GB2312"/>
          <w:color w:val="auto"/>
          <w:sz w:val="24"/>
        </w:rPr>
        <w:t>JY2019C108</w:t>
      </w:r>
      <w:r>
        <w:rPr>
          <w:rFonts w:hint="eastAsia" w:ascii="仿宋_GB2312" w:eastAsia="仿宋_GB2312"/>
          <w:color w:val="auto"/>
          <w:sz w:val="24"/>
        </w:rPr>
        <w:t>）在线开放课程建设项目的投标活动，受托人有权在该投标活动中，以我单位的名义签署投标书和投标文件，与招标人协商、澄清、解释，质疑，签订合同书并执行一切与此有关的事项。</w:t>
      </w:r>
    </w:p>
    <w:p>
      <w:pPr>
        <w:snapToGrid w:val="0"/>
        <w:spacing w:line="500" w:lineRule="exact"/>
        <w:rPr>
          <w:rFonts w:ascii="仿宋_GB2312" w:hAnsi="宋体" w:eastAsia="仿宋_GB2312" w:cs="宋体"/>
          <w:color w:val="auto"/>
          <w:sz w:val="24"/>
        </w:rPr>
      </w:pPr>
      <w:r>
        <w:rPr>
          <w:rFonts w:hint="eastAsia" w:ascii="仿宋_GB2312" w:eastAsia="仿宋_GB2312"/>
          <w:color w:val="auto"/>
          <w:sz w:val="24"/>
        </w:rPr>
        <w:t xml:space="preserve">    受托人在办理上述事宜过程中以其自己的名义所签署的所有文件我均予以承认。受托人无转委托权。</w:t>
      </w:r>
    </w:p>
    <w:p>
      <w:pPr>
        <w:snapToGrid w:val="0"/>
        <w:spacing w:line="500" w:lineRule="exact"/>
        <w:ind w:firstLine="480" w:firstLineChars="200"/>
        <w:rPr>
          <w:rFonts w:ascii="仿宋_GB2312" w:eastAsia="仿宋_GB2312"/>
          <w:color w:val="auto"/>
          <w:sz w:val="24"/>
        </w:rPr>
      </w:pPr>
      <w:r>
        <w:rPr>
          <w:rFonts w:hint="eastAsia" w:ascii="仿宋_GB2312" w:eastAsia="仿宋_GB2312"/>
          <w:color w:val="auto"/>
          <w:sz w:val="24"/>
        </w:rPr>
        <w:t>委托期限：至上述事宜处理完毕止。</w:t>
      </w:r>
    </w:p>
    <w:p>
      <w:pPr>
        <w:snapToGrid w:val="0"/>
        <w:spacing w:line="500" w:lineRule="exact"/>
        <w:ind w:firstLine="2240"/>
        <w:rPr>
          <w:rFonts w:ascii="仿宋_GB2312" w:eastAsia="仿宋_GB2312"/>
          <w:color w:val="auto"/>
          <w:sz w:val="24"/>
          <w:u w:val="single"/>
        </w:rPr>
      </w:pPr>
      <w:r>
        <w:rPr>
          <w:rFonts w:hint="eastAsia" w:ascii="仿宋_GB2312" w:eastAsia="仿宋_GB2312"/>
          <w:color w:val="auto"/>
          <w:sz w:val="24"/>
        </w:rPr>
        <w:t xml:space="preserve">委托单位   </w:t>
      </w:r>
      <w:r>
        <w:rPr>
          <w:rFonts w:hint="eastAsia" w:ascii="仿宋_GB2312" w:eastAsia="仿宋_GB2312"/>
          <w:color w:val="auto"/>
          <w:sz w:val="24"/>
          <w:u w:val="single"/>
        </w:rPr>
        <w:t xml:space="preserve">           </w:t>
      </w:r>
      <w:r>
        <w:rPr>
          <w:rFonts w:hint="eastAsia" w:ascii="仿宋_GB2312" w:eastAsia="仿宋_GB2312"/>
          <w:color w:val="auto"/>
          <w:sz w:val="24"/>
        </w:rPr>
        <w:t>（公章）</w:t>
      </w:r>
    </w:p>
    <w:p>
      <w:pPr>
        <w:snapToGrid w:val="0"/>
        <w:spacing w:line="500" w:lineRule="exact"/>
        <w:rPr>
          <w:rFonts w:ascii="仿宋_GB2312" w:eastAsia="仿宋_GB2312"/>
          <w:color w:val="auto"/>
          <w:sz w:val="24"/>
          <w:u w:val="single"/>
        </w:rPr>
      </w:pPr>
      <w:r>
        <w:rPr>
          <w:rFonts w:hint="eastAsia" w:ascii="仿宋_GB2312" w:eastAsia="仿宋_GB2312"/>
          <w:color w:val="auto"/>
          <w:sz w:val="24"/>
        </w:rPr>
        <w:t xml:space="preserve">                   法定代表人 </w:t>
      </w:r>
      <w:r>
        <w:rPr>
          <w:rFonts w:hint="eastAsia" w:ascii="仿宋_GB2312" w:eastAsia="仿宋_GB2312"/>
          <w:color w:val="auto"/>
          <w:sz w:val="24"/>
          <w:u w:val="single"/>
        </w:rPr>
        <w:t xml:space="preserve">           </w:t>
      </w:r>
      <w:r>
        <w:rPr>
          <w:rFonts w:hint="eastAsia" w:ascii="仿宋_GB2312" w:eastAsia="仿宋_GB2312"/>
          <w:color w:val="auto"/>
          <w:sz w:val="24"/>
        </w:rPr>
        <w:t>（签名）</w:t>
      </w:r>
    </w:p>
    <w:p>
      <w:pPr>
        <w:snapToGrid w:val="0"/>
        <w:spacing w:line="500" w:lineRule="exact"/>
        <w:ind w:firstLine="2280" w:firstLineChars="950"/>
        <w:rPr>
          <w:rFonts w:ascii="仿宋_GB2312" w:eastAsia="仿宋_GB2312"/>
          <w:color w:val="auto"/>
          <w:sz w:val="24"/>
        </w:rPr>
      </w:pPr>
      <w:r>
        <w:rPr>
          <w:rFonts w:hint="eastAsia" w:ascii="仿宋_GB2312" w:eastAsia="仿宋_GB2312"/>
          <w:color w:val="auto"/>
          <w:sz w:val="24"/>
        </w:rPr>
        <w:t>二○一</w:t>
      </w:r>
      <w:r>
        <w:rPr>
          <w:rFonts w:hint="eastAsia" w:ascii="仿宋_GB2312" w:eastAsia="仿宋_GB2312"/>
          <w:color w:val="auto"/>
          <w:sz w:val="24"/>
          <w:u w:val="single"/>
        </w:rPr>
        <w:t xml:space="preserve">   </w:t>
      </w:r>
      <w:r>
        <w:rPr>
          <w:rFonts w:hint="eastAsia" w:ascii="仿宋_GB2312" w:eastAsia="仿宋_GB2312"/>
          <w:color w:val="auto"/>
          <w:sz w:val="24"/>
        </w:rPr>
        <w:t>年</w:t>
      </w:r>
      <w:r>
        <w:rPr>
          <w:rFonts w:hint="eastAsia" w:ascii="仿宋_GB2312" w:eastAsia="仿宋_GB2312"/>
          <w:color w:val="auto"/>
          <w:sz w:val="24"/>
          <w:u w:val="single"/>
        </w:rPr>
        <w:t xml:space="preserve">     </w:t>
      </w:r>
      <w:r>
        <w:rPr>
          <w:rFonts w:hint="eastAsia" w:ascii="仿宋_GB2312" w:eastAsia="仿宋_GB2312"/>
          <w:color w:val="auto"/>
          <w:sz w:val="24"/>
        </w:rPr>
        <w:t>月</w:t>
      </w:r>
      <w:r>
        <w:rPr>
          <w:rFonts w:hint="eastAsia" w:ascii="仿宋_GB2312" w:eastAsia="仿宋_GB2312"/>
          <w:color w:val="auto"/>
          <w:sz w:val="24"/>
          <w:u w:val="single"/>
        </w:rPr>
        <w:t xml:space="preserve">     </w:t>
      </w:r>
      <w:r>
        <w:rPr>
          <w:rFonts w:hint="eastAsia" w:ascii="仿宋_GB2312" w:eastAsia="仿宋_GB2312"/>
          <w:color w:val="auto"/>
          <w:sz w:val="24"/>
        </w:rPr>
        <w:t>日</w:t>
      </w:r>
    </w:p>
    <w:p>
      <w:pPr>
        <w:snapToGrid w:val="0"/>
        <w:spacing w:line="500" w:lineRule="exact"/>
        <w:ind w:firstLine="480" w:firstLineChars="200"/>
        <w:rPr>
          <w:rFonts w:ascii="仿宋_GB2312" w:eastAsia="仿宋_GB2312"/>
          <w:color w:val="auto"/>
          <w:sz w:val="24"/>
        </w:rPr>
      </w:pPr>
      <w:r>
        <w:rPr>
          <w:rFonts w:hint="eastAsia" w:ascii="仿宋_GB2312" w:eastAsia="仿宋_GB2312"/>
          <w:color w:val="auto"/>
          <w:sz w:val="24"/>
        </w:rPr>
        <w:t>备注：</w:t>
      </w:r>
    </w:p>
    <w:p>
      <w:pPr>
        <w:snapToGrid w:val="0"/>
        <w:spacing w:line="500" w:lineRule="exact"/>
        <w:ind w:firstLine="560"/>
        <w:rPr>
          <w:rFonts w:ascii="仿宋_GB2312" w:eastAsia="仿宋_GB2312"/>
          <w:color w:val="auto"/>
          <w:sz w:val="24"/>
        </w:rPr>
      </w:pPr>
      <w:r>
        <w:rPr>
          <w:rFonts w:hint="eastAsia" w:ascii="仿宋_GB2312" w:eastAsia="仿宋_GB2312"/>
          <w:color w:val="auto"/>
          <w:sz w:val="24"/>
        </w:rPr>
        <w:t>（1）投标人授权代表须在开标前持本授权书原件及本人身份证件办理交纳保证金、签名报到、递交投标文件等事宜，投标文件中则附授权书复印件。</w:t>
      </w:r>
    </w:p>
    <w:p>
      <w:pPr>
        <w:snapToGrid w:val="0"/>
        <w:spacing w:line="500" w:lineRule="exact"/>
        <w:ind w:firstLine="560"/>
        <w:rPr>
          <w:rFonts w:ascii="仿宋_GB2312" w:eastAsia="仿宋_GB2312"/>
          <w:color w:val="auto"/>
          <w:sz w:val="24"/>
        </w:rPr>
      </w:pPr>
      <w:r>
        <w:rPr>
          <w:rFonts w:hint="eastAsia" w:ascii="仿宋_GB2312" w:eastAsia="仿宋_GB2312"/>
          <w:color w:val="auto"/>
          <w:sz w:val="24"/>
        </w:rPr>
        <w:t>（2）投标单位法定代表人直接参加投标的，无须提供法人授权委托书，但须持本人身份证件及营业执照复印件办理相关手续。</w:t>
      </w:r>
    </w:p>
    <w:p>
      <w:pPr>
        <w:snapToGrid w:val="0"/>
        <w:spacing w:line="620" w:lineRule="exact"/>
        <w:rPr>
          <w:rFonts w:ascii="仿宋_GB2312" w:eastAsia="仿宋_GB2312"/>
          <w:color w:val="auto"/>
          <w:sz w:val="24"/>
        </w:rPr>
      </w:pPr>
    </w:p>
    <w:p>
      <w:pPr>
        <w:snapToGrid w:val="0"/>
        <w:spacing w:line="620" w:lineRule="exact"/>
        <w:rPr>
          <w:rFonts w:ascii="仿宋_GB2312" w:eastAsia="仿宋_GB2312"/>
          <w:color w:val="auto"/>
          <w:sz w:val="24"/>
        </w:rPr>
      </w:pPr>
    </w:p>
    <w:p>
      <w:pPr>
        <w:snapToGrid w:val="0"/>
        <w:spacing w:line="620" w:lineRule="exact"/>
        <w:rPr>
          <w:rFonts w:ascii="仿宋_GB2312" w:eastAsia="仿宋_GB2312"/>
          <w:color w:val="auto"/>
          <w:sz w:val="24"/>
        </w:rPr>
      </w:pPr>
    </w:p>
    <w:p>
      <w:pPr>
        <w:widowControl/>
        <w:snapToGrid w:val="0"/>
        <w:spacing w:line="620" w:lineRule="exact"/>
        <w:ind w:firstLine="472" w:firstLineChars="196"/>
        <w:rPr>
          <w:rFonts w:ascii="仿宋_GB2312" w:hAnsi="新宋体" w:eastAsia="仿宋_GB2312"/>
          <w:color w:val="auto"/>
          <w:sz w:val="24"/>
        </w:rPr>
      </w:pPr>
      <w:r>
        <w:rPr>
          <w:rFonts w:hint="eastAsia" w:ascii="仿宋_GB2312" w:hAnsi="新宋体" w:eastAsia="仿宋_GB2312"/>
          <w:b/>
          <w:color w:val="auto"/>
          <w:sz w:val="24"/>
        </w:rPr>
        <w:t>十、其他相关材料</w:t>
      </w:r>
    </w:p>
    <w:p>
      <w:pPr>
        <w:widowControl/>
        <w:snapToGrid w:val="0"/>
        <w:spacing w:line="620" w:lineRule="exact"/>
        <w:rPr>
          <w:rFonts w:ascii="仿宋_GB2312" w:eastAsia="仿宋_GB2312"/>
          <w:color w:val="auto"/>
          <w:sz w:val="24"/>
        </w:rPr>
      </w:pPr>
    </w:p>
    <w:p>
      <w:pPr>
        <w:widowControl/>
        <w:snapToGrid w:val="0"/>
        <w:spacing w:line="620" w:lineRule="exact"/>
        <w:rPr>
          <w:rFonts w:ascii="仿宋_GB2312" w:eastAsia="仿宋_GB2312"/>
          <w:b/>
          <w:color w:val="auto"/>
          <w:sz w:val="24"/>
        </w:rPr>
      </w:pPr>
      <w:r>
        <w:rPr>
          <w:rFonts w:hint="eastAsia" w:ascii="仿宋_GB2312" w:eastAsia="仿宋_GB2312"/>
          <w:color w:val="auto"/>
          <w:sz w:val="24"/>
        </w:rPr>
        <w:t xml:space="preserve">                           </w:t>
      </w:r>
      <w:r>
        <w:rPr>
          <w:rFonts w:hint="eastAsia" w:ascii="仿宋_GB2312" w:eastAsia="仿宋_GB2312"/>
          <w:b/>
          <w:color w:val="auto"/>
          <w:sz w:val="24"/>
        </w:rPr>
        <w:t xml:space="preserve">       投标函</w:t>
      </w:r>
    </w:p>
    <w:p>
      <w:pPr>
        <w:widowControl/>
        <w:snapToGrid w:val="0"/>
        <w:spacing w:line="620" w:lineRule="exact"/>
        <w:rPr>
          <w:rFonts w:ascii="仿宋_GB2312" w:eastAsia="仿宋_GB2312"/>
          <w:color w:val="auto"/>
          <w:sz w:val="24"/>
        </w:rPr>
      </w:pPr>
      <w:r>
        <w:rPr>
          <w:rFonts w:hint="eastAsia" w:ascii="仿宋_GB2312" w:eastAsia="仿宋_GB2312"/>
          <w:color w:val="auto"/>
          <w:sz w:val="24"/>
        </w:rPr>
        <w:t>江苏第二师范学院招标办公室：</w:t>
      </w:r>
    </w:p>
    <w:p>
      <w:pPr>
        <w:spacing w:line="620" w:lineRule="exact"/>
        <w:ind w:firstLine="480" w:firstLineChars="200"/>
        <w:rPr>
          <w:rFonts w:ascii="仿宋_GB2312" w:hAnsi="宋体" w:eastAsia="仿宋_GB2312"/>
          <w:color w:val="auto"/>
          <w:sz w:val="24"/>
        </w:rPr>
      </w:pPr>
      <w:r>
        <w:rPr>
          <w:rFonts w:hint="eastAsia" w:ascii="仿宋_GB2312" w:eastAsia="仿宋_GB2312"/>
          <w:color w:val="auto"/>
          <w:sz w:val="24"/>
        </w:rPr>
        <w:t>你们关于</w:t>
      </w:r>
      <w:r>
        <w:rPr>
          <w:rFonts w:hint="eastAsia" w:ascii="仿宋_GB2312" w:hAnsi="宋体" w:eastAsia="仿宋_GB2312"/>
          <w:color w:val="auto"/>
          <w:sz w:val="24"/>
          <w:u w:val="single"/>
        </w:rPr>
        <w:t xml:space="preserve">                     </w:t>
      </w:r>
      <w:r>
        <w:rPr>
          <w:rFonts w:hint="eastAsia" w:ascii="仿宋_GB2312" w:eastAsia="仿宋_GB2312"/>
          <w:color w:val="auto"/>
          <w:sz w:val="24"/>
        </w:rPr>
        <w:t>项目招标文件收悉，我们经详细审阅和研究，现决定参加投标。</w:t>
      </w:r>
    </w:p>
    <w:p>
      <w:pPr>
        <w:widowControl/>
        <w:snapToGrid w:val="0"/>
        <w:spacing w:line="620" w:lineRule="exact"/>
        <w:ind w:firstLine="555"/>
        <w:rPr>
          <w:rFonts w:ascii="仿宋_GB2312" w:eastAsia="仿宋_GB2312"/>
          <w:color w:val="auto"/>
          <w:sz w:val="24"/>
        </w:rPr>
      </w:pPr>
      <w:r>
        <w:rPr>
          <w:rFonts w:hint="eastAsia" w:ascii="仿宋_GB2312" w:eastAsia="仿宋_GB2312"/>
          <w:color w:val="auto"/>
          <w:sz w:val="24"/>
        </w:rPr>
        <w:t>1．我们郑重承诺：我们是符合《政府采购法》第22条规定的供应商，并严格遵守《政府采购法》第77条的规定，本投标文件中提供的所有材料均是真实有效的。</w:t>
      </w:r>
    </w:p>
    <w:p>
      <w:pPr>
        <w:snapToGrid w:val="0"/>
        <w:spacing w:line="620" w:lineRule="exact"/>
        <w:rPr>
          <w:rFonts w:ascii="仿宋_GB2312" w:eastAsia="仿宋_GB2312"/>
          <w:color w:val="auto"/>
          <w:sz w:val="24"/>
        </w:rPr>
      </w:pPr>
      <w:r>
        <w:rPr>
          <w:rFonts w:hint="eastAsia" w:ascii="仿宋_GB2312" w:eastAsia="仿宋_GB2312"/>
          <w:color w:val="auto"/>
          <w:sz w:val="24"/>
        </w:rPr>
        <w:t xml:space="preserve">    2．我们接受招标文件的所有条款和规定。</w:t>
      </w:r>
    </w:p>
    <w:p>
      <w:pPr>
        <w:snapToGrid w:val="0"/>
        <w:spacing w:line="620" w:lineRule="exact"/>
        <w:rPr>
          <w:rFonts w:ascii="仿宋_GB2312" w:eastAsia="仿宋_GB2312"/>
          <w:color w:val="auto"/>
          <w:sz w:val="24"/>
        </w:rPr>
      </w:pPr>
      <w:r>
        <w:rPr>
          <w:rFonts w:hint="eastAsia" w:ascii="仿宋_GB2312" w:eastAsia="仿宋_GB2312"/>
          <w:color w:val="auto"/>
          <w:sz w:val="24"/>
        </w:rPr>
        <w:t xml:space="preserve">    3．我们同意提供招标人要求的有关本次招标的所有资料。</w:t>
      </w:r>
    </w:p>
    <w:p>
      <w:pPr>
        <w:snapToGrid w:val="0"/>
        <w:spacing w:line="620" w:lineRule="exact"/>
        <w:rPr>
          <w:rFonts w:ascii="仿宋_GB2312" w:eastAsia="仿宋_GB2312"/>
          <w:color w:val="auto"/>
          <w:sz w:val="24"/>
        </w:rPr>
      </w:pPr>
      <w:r>
        <w:rPr>
          <w:rFonts w:hint="eastAsia" w:ascii="仿宋_GB2312" w:eastAsia="仿宋_GB2312"/>
          <w:color w:val="auto"/>
          <w:sz w:val="24"/>
        </w:rPr>
        <w:t xml:space="preserve">    4．我们理解，你们无义务必须接受投标价最低的投标，并有权拒绝所有的投标；同时也理解你们不承担我们本次投标的费用。</w:t>
      </w:r>
    </w:p>
    <w:p>
      <w:pPr>
        <w:snapToGrid w:val="0"/>
        <w:spacing w:line="620" w:lineRule="exact"/>
        <w:ind w:firstLine="480" w:firstLineChars="200"/>
        <w:rPr>
          <w:rFonts w:ascii="仿宋_GB2312" w:eastAsia="仿宋_GB2312"/>
          <w:color w:val="auto"/>
          <w:sz w:val="24"/>
        </w:rPr>
      </w:pPr>
      <w:r>
        <w:rPr>
          <w:rFonts w:hint="eastAsia" w:ascii="仿宋_GB2312" w:eastAsia="仿宋_GB2312"/>
          <w:color w:val="auto"/>
          <w:sz w:val="24"/>
        </w:rPr>
        <w:t>5．如果我们中标，我们将按有关要求提供必要的履约保证。</w:t>
      </w:r>
    </w:p>
    <w:p>
      <w:pPr>
        <w:snapToGrid w:val="0"/>
        <w:spacing w:line="620" w:lineRule="exact"/>
        <w:ind w:firstLine="2160" w:firstLineChars="900"/>
        <w:rPr>
          <w:rFonts w:ascii="仿宋_GB2312" w:eastAsia="仿宋_GB2312"/>
          <w:color w:val="auto"/>
          <w:sz w:val="24"/>
        </w:rPr>
      </w:pPr>
      <w:r>
        <w:rPr>
          <w:rFonts w:hint="eastAsia" w:ascii="仿宋_GB2312" w:eastAsia="仿宋_GB2312"/>
          <w:color w:val="auto"/>
          <w:sz w:val="24"/>
        </w:rPr>
        <w:t>投标人名称：</w:t>
      </w:r>
      <w:r>
        <w:rPr>
          <w:rFonts w:hint="eastAsia" w:ascii="仿宋_GB2312" w:eastAsia="仿宋_GB2312"/>
          <w:color w:val="auto"/>
          <w:sz w:val="24"/>
          <w:u w:val="single"/>
        </w:rPr>
        <w:t xml:space="preserve">              </w:t>
      </w:r>
      <w:r>
        <w:rPr>
          <w:rFonts w:hint="eastAsia" w:ascii="仿宋_GB2312" w:eastAsia="仿宋_GB2312"/>
          <w:color w:val="auto"/>
          <w:sz w:val="24"/>
        </w:rPr>
        <w:t>（公章）</w:t>
      </w:r>
    </w:p>
    <w:p>
      <w:pPr>
        <w:snapToGrid w:val="0"/>
        <w:spacing w:line="620" w:lineRule="exact"/>
        <w:rPr>
          <w:rFonts w:ascii="仿宋_GB2312" w:eastAsia="仿宋_GB2312"/>
          <w:color w:val="auto"/>
          <w:sz w:val="24"/>
          <w:u w:val="single"/>
        </w:rPr>
      </w:pPr>
      <w:r>
        <w:rPr>
          <w:rFonts w:hint="eastAsia" w:ascii="仿宋_GB2312" w:eastAsia="仿宋_GB2312"/>
          <w:color w:val="auto"/>
          <w:sz w:val="24"/>
        </w:rPr>
        <w:t xml:space="preserve">                  地址：</w:t>
      </w:r>
      <w:r>
        <w:rPr>
          <w:rFonts w:hint="eastAsia" w:ascii="仿宋_GB2312" w:eastAsia="仿宋_GB2312"/>
          <w:color w:val="auto"/>
          <w:sz w:val="24"/>
          <w:u w:val="single"/>
        </w:rPr>
        <w:t xml:space="preserve">            </w:t>
      </w:r>
      <w:r>
        <w:rPr>
          <w:rFonts w:hint="eastAsia" w:ascii="仿宋_GB2312" w:eastAsia="仿宋_GB2312"/>
          <w:color w:val="auto"/>
          <w:sz w:val="24"/>
        </w:rPr>
        <w:t>邮编：</w:t>
      </w:r>
      <w:r>
        <w:rPr>
          <w:rFonts w:hint="eastAsia" w:ascii="仿宋_GB2312" w:eastAsia="仿宋_GB2312"/>
          <w:color w:val="auto"/>
          <w:sz w:val="24"/>
          <w:u w:val="single"/>
        </w:rPr>
        <w:t xml:space="preserve">          </w:t>
      </w:r>
    </w:p>
    <w:p>
      <w:pPr>
        <w:snapToGrid w:val="0"/>
        <w:spacing w:line="620" w:lineRule="exact"/>
        <w:rPr>
          <w:rFonts w:ascii="仿宋_GB2312" w:eastAsia="仿宋_GB2312"/>
          <w:color w:val="auto"/>
          <w:sz w:val="24"/>
          <w:u w:val="single"/>
        </w:rPr>
      </w:pPr>
      <w:r>
        <w:rPr>
          <w:rFonts w:hint="eastAsia" w:ascii="仿宋_GB2312" w:eastAsia="仿宋_GB2312"/>
          <w:color w:val="auto"/>
          <w:sz w:val="24"/>
        </w:rPr>
        <w:t xml:space="preserve">                  电话：</w:t>
      </w:r>
      <w:r>
        <w:rPr>
          <w:rFonts w:hint="eastAsia" w:ascii="仿宋_GB2312" w:eastAsia="仿宋_GB2312"/>
          <w:color w:val="auto"/>
          <w:sz w:val="24"/>
          <w:u w:val="single"/>
        </w:rPr>
        <w:t xml:space="preserve">            </w:t>
      </w:r>
      <w:r>
        <w:rPr>
          <w:rFonts w:hint="eastAsia" w:ascii="仿宋_GB2312" w:eastAsia="仿宋_GB2312"/>
          <w:color w:val="auto"/>
          <w:sz w:val="24"/>
        </w:rPr>
        <w:t>传真：</w:t>
      </w:r>
      <w:r>
        <w:rPr>
          <w:rFonts w:hint="eastAsia" w:ascii="仿宋_GB2312" w:eastAsia="仿宋_GB2312"/>
          <w:color w:val="auto"/>
          <w:sz w:val="24"/>
          <w:u w:val="single"/>
        </w:rPr>
        <w:t xml:space="preserve">          </w:t>
      </w:r>
    </w:p>
    <w:p>
      <w:pPr>
        <w:snapToGrid w:val="0"/>
        <w:spacing w:line="620" w:lineRule="exact"/>
        <w:rPr>
          <w:rFonts w:ascii="仿宋_GB2312" w:eastAsia="仿宋_GB2312"/>
          <w:color w:val="auto"/>
          <w:sz w:val="24"/>
          <w:u w:val="single"/>
        </w:rPr>
      </w:pPr>
      <w:r>
        <w:rPr>
          <w:rFonts w:hint="eastAsia" w:ascii="仿宋_GB2312" w:eastAsia="仿宋_GB2312"/>
          <w:color w:val="auto"/>
          <w:sz w:val="24"/>
        </w:rPr>
        <w:t xml:space="preserve">                  授权代表签字：</w:t>
      </w:r>
      <w:r>
        <w:rPr>
          <w:rFonts w:hint="eastAsia" w:ascii="仿宋_GB2312" w:eastAsia="仿宋_GB2312"/>
          <w:color w:val="auto"/>
          <w:sz w:val="24"/>
          <w:u w:val="single"/>
        </w:rPr>
        <w:t xml:space="preserve">                    </w:t>
      </w:r>
    </w:p>
    <w:p>
      <w:pPr>
        <w:snapToGrid w:val="0"/>
        <w:spacing w:line="620" w:lineRule="exact"/>
        <w:rPr>
          <w:rFonts w:ascii="仿宋_GB2312" w:eastAsia="仿宋_GB2312"/>
          <w:color w:val="auto"/>
          <w:sz w:val="24"/>
          <w:u w:val="single"/>
        </w:rPr>
      </w:pPr>
      <w:r>
        <w:rPr>
          <w:rFonts w:hint="eastAsia" w:ascii="仿宋_GB2312" w:eastAsia="仿宋_GB2312"/>
          <w:color w:val="auto"/>
          <w:sz w:val="24"/>
        </w:rPr>
        <w:t xml:space="preserve">                  职务：</w:t>
      </w:r>
      <w:r>
        <w:rPr>
          <w:rFonts w:hint="eastAsia" w:ascii="仿宋_GB2312" w:eastAsia="仿宋_GB2312"/>
          <w:color w:val="auto"/>
          <w:sz w:val="24"/>
          <w:u w:val="single"/>
        </w:rPr>
        <w:t xml:space="preserve">                            </w:t>
      </w:r>
    </w:p>
    <w:p>
      <w:pPr>
        <w:snapToGrid w:val="0"/>
        <w:spacing w:line="620" w:lineRule="exact"/>
        <w:rPr>
          <w:rFonts w:ascii="仿宋_GB2312" w:eastAsia="仿宋_GB2312"/>
          <w:color w:val="auto"/>
          <w:sz w:val="24"/>
          <w:u w:val="single"/>
        </w:rPr>
      </w:pPr>
      <w:r>
        <w:rPr>
          <w:rFonts w:hint="eastAsia" w:ascii="仿宋_GB2312" w:eastAsia="仿宋_GB2312"/>
          <w:color w:val="auto"/>
          <w:sz w:val="24"/>
        </w:rPr>
        <w:t xml:space="preserve">                  日期：</w:t>
      </w:r>
      <w:r>
        <w:rPr>
          <w:rFonts w:hint="eastAsia" w:ascii="仿宋_GB2312" w:eastAsia="仿宋_GB2312"/>
          <w:color w:val="auto"/>
          <w:sz w:val="24"/>
          <w:u w:val="single"/>
        </w:rPr>
        <w:t xml:space="preserve">                            </w:t>
      </w:r>
    </w:p>
    <w:p>
      <w:pPr>
        <w:snapToGrid w:val="0"/>
        <w:spacing w:line="620" w:lineRule="exact"/>
        <w:rPr>
          <w:rFonts w:ascii="仿宋_GB2312" w:eastAsia="仿宋_GB2312"/>
          <w:color w:val="auto"/>
          <w:sz w:val="24"/>
          <w:u w:val="single"/>
        </w:rPr>
      </w:pPr>
    </w:p>
    <w:p>
      <w:pPr>
        <w:snapToGrid w:val="0"/>
        <w:spacing w:line="340" w:lineRule="exact"/>
        <w:ind w:firstLine="560"/>
        <w:rPr>
          <w:rFonts w:ascii="仿宋_GB2312" w:eastAsia="仿宋_GB2312"/>
          <w:color w:val="auto"/>
          <w:sz w:val="24"/>
        </w:rPr>
      </w:pPr>
    </w:p>
    <w:p>
      <w:pPr>
        <w:snapToGrid w:val="0"/>
        <w:spacing w:line="340" w:lineRule="exact"/>
        <w:ind w:firstLine="560"/>
        <w:rPr>
          <w:rFonts w:ascii="仿宋_GB2312" w:eastAsia="仿宋_GB2312"/>
          <w:color w:val="auto"/>
          <w:sz w:val="24"/>
        </w:rPr>
      </w:pPr>
    </w:p>
    <w:p>
      <w:pPr>
        <w:snapToGrid w:val="0"/>
        <w:spacing w:line="340" w:lineRule="exact"/>
        <w:ind w:firstLine="560"/>
        <w:rPr>
          <w:rFonts w:ascii="仿宋_GB2312" w:eastAsia="仿宋_GB2312"/>
          <w:color w:val="auto"/>
          <w:sz w:val="24"/>
        </w:rPr>
      </w:pPr>
    </w:p>
    <w:p>
      <w:pPr>
        <w:snapToGrid w:val="0"/>
        <w:spacing w:line="340" w:lineRule="exact"/>
        <w:ind w:firstLine="560"/>
        <w:rPr>
          <w:rFonts w:ascii="仿宋_GB2312" w:eastAsia="仿宋_GB2312"/>
          <w:color w:val="auto"/>
          <w:sz w:val="24"/>
        </w:rPr>
      </w:pPr>
    </w:p>
    <w:p>
      <w:pPr>
        <w:spacing w:line="300" w:lineRule="exact"/>
        <w:ind w:firstLine="472" w:firstLineChars="196"/>
        <w:rPr>
          <w:rFonts w:ascii="仿宋_GB2312" w:hAnsi="宋体" w:eastAsia="仿宋_GB2312"/>
          <w:b/>
          <w:color w:val="auto"/>
          <w:sz w:val="24"/>
        </w:rPr>
      </w:pPr>
      <w:r>
        <w:rPr>
          <w:rFonts w:hint="eastAsia" w:ascii="仿宋_GB2312" w:hAnsi="宋体" w:eastAsia="仿宋_GB2312"/>
          <w:b/>
          <w:bCs/>
          <w:color w:val="auto"/>
          <w:sz w:val="24"/>
        </w:rPr>
        <w:t>十一、合同条款</w:t>
      </w:r>
    </w:p>
    <w:p>
      <w:pPr>
        <w:widowControl/>
        <w:snapToGrid w:val="0"/>
        <w:spacing w:before="19" w:line="300" w:lineRule="exact"/>
        <w:jc w:val="center"/>
        <w:rPr>
          <w:rFonts w:ascii="仿宋_GB2312" w:hAnsi="宋体" w:eastAsia="仿宋_GB2312"/>
          <w:b/>
          <w:color w:val="auto"/>
          <w:sz w:val="24"/>
          <w:u w:val="double"/>
        </w:rPr>
      </w:pPr>
      <w:r>
        <w:rPr>
          <w:rFonts w:hint="eastAsia" w:ascii="仿宋_GB2312" w:hAnsi="宋体" w:eastAsia="仿宋_GB2312"/>
          <w:b/>
          <w:color w:val="auto"/>
          <w:sz w:val="24"/>
          <w:u w:val="double"/>
        </w:rPr>
        <w:t>采购合同格式</w:t>
      </w:r>
      <w:r>
        <w:rPr>
          <w:rFonts w:hint="eastAsia" w:ascii="仿宋_GB2312" w:hAnsi="宋体" w:eastAsia="仿宋_GB2312"/>
          <w:color w:val="auto"/>
          <w:sz w:val="24"/>
          <w:u w:val="double"/>
        </w:rPr>
        <w:t>（专用条款）</w:t>
      </w:r>
    </w:p>
    <w:p>
      <w:pPr>
        <w:widowControl/>
        <w:adjustRightInd w:val="0"/>
        <w:snapToGrid w:val="0"/>
        <w:spacing w:before="19" w:line="300" w:lineRule="exact"/>
        <w:rPr>
          <w:rFonts w:ascii="仿宋_GB2312" w:hAnsi="宋体" w:eastAsia="仿宋_GB2312"/>
          <w:b/>
          <w:color w:val="auto"/>
          <w:sz w:val="24"/>
        </w:rPr>
      </w:pPr>
      <w:r>
        <w:rPr>
          <w:rFonts w:hint="eastAsia" w:ascii="仿宋_GB2312" w:hAnsi="宋体" w:eastAsia="仿宋_GB2312"/>
          <w:color w:val="auto"/>
          <w:sz w:val="24"/>
        </w:rPr>
        <w:t xml:space="preserve">甲方: </w:t>
      </w:r>
    </w:p>
    <w:p>
      <w:pPr>
        <w:widowControl/>
        <w:adjustRightInd w:val="0"/>
        <w:snapToGrid w:val="0"/>
        <w:spacing w:before="19" w:line="300" w:lineRule="exact"/>
        <w:rPr>
          <w:rFonts w:ascii="仿宋_GB2312" w:hAnsi="宋体" w:eastAsia="仿宋_GB2312"/>
          <w:color w:val="auto"/>
          <w:sz w:val="24"/>
        </w:rPr>
      </w:pPr>
      <w:r>
        <w:rPr>
          <w:rFonts w:hint="eastAsia" w:ascii="仿宋_GB2312" w:hAnsi="宋体" w:eastAsia="仿宋_GB2312"/>
          <w:color w:val="auto"/>
          <w:sz w:val="24"/>
        </w:rPr>
        <w:t xml:space="preserve">乙方: </w:t>
      </w:r>
    </w:p>
    <w:p>
      <w:pPr>
        <w:widowControl/>
        <w:adjustRightInd w:val="0"/>
        <w:snapToGrid w:val="0"/>
        <w:spacing w:before="19" w:line="30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甲乙双方根据2019年7月19日“江苏第二师范学院在线开放课程建设项目（采购项目编号：JY2019C108）”采购结果及采购文件的要求,经协商一致,达成如下采购合同:</w:t>
      </w:r>
    </w:p>
    <w:p>
      <w:pPr>
        <w:widowControl/>
        <w:adjustRightInd w:val="0"/>
        <w:snapToGrid w:val="0"/>
        <w:spacing w:before="19" w:line="300" w:lineRule="exact"/>
        <w:ind w:firstLine="482" w:firstLineChars="200"/>
        <w:rPr>
          <w:rFonts w:ascii="仿宋_GB2312" w:hAnsi="宋体" w:eastAsia="仿宋_GB2312"/>
          <w:color w:val="auto"/>
          <w:sz w:val="24"/>
        </w:rPr>
      </w:pPr>
      <w:r>
        <w:rPr>
          <w:rFonts w:hint="eastAsia" w:ascii="仿宋_GB2312" w:hAnsi="宋体" w:eastAsia="仿宋_GB2312"/>
          <w:b/>
          <w:bCs/>
          <w:color w:val="auto"/>
          <w:sz w:val="24"/>
        </w:rPr>
        <w:t>一、货物及其数量</w:t>
      </w:r>
      <w:r>
        <w:rPr>
          <w:rFonts w:hint="eastAsia" w:ascii="仿宋_GB2312" w:hAnsi="宋体" w:eastAsia="仿宋_GB2312"/>
          <w:color w:val="auto"/>
          <w:sz w:val="24"/>
        </w:rPr>
        <w:t xml:space="preserve"> ：</w:t>
      </w:r>
    </w:p>
    <w:p>
      <w:pPr>
        <w:widowControl/>
        <w:adjustRightInd w:val="0"/>
        <w:snapToGrid w:val="0"/>
        <w:spacing w:before="19" w:line="30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二、合同金额：人民币</w:t>
      </w:r>
    </w:p>
    <w:p>
      <w:pPr>
        <w:widowControl/>
        <w:adjustRightInd w:val="0"/>
        <w:snapToGrid w:val="0"/>
        <w:spacing w:before="19" w:line="30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 xml:space="preserve">三、免费质保期：    </w:t>
      </w:r>
    </w:p>
    <w:p>
      <w:pPr>
        <w:widowControl/>
        <w:adjustRightInd w:val="0"/>
        <w:snapToGrid w:val="0"/>
        <w:spacing w:before="19" w:line="300" w:lineRule="exact"/>
        <w:ind w:firstLine="482" w:firstLineChars="200"/>
        <w:rPr>
          <w:rFonts w:ascii="仿宋_GB2312" w:hAnsi="宋体" w:eastAsia="仿宋_GB2312"/>
          <w:color w:val="auto"/>
          <w:sz w:val="24"/>
        </w:rPr>
      </w:pPr>
      <w:r>
        <w:rPr>
          <w:rFonts w:hint="eastAsia" w:ascii="仿宋_GB2312" w:hAnsi="宋体" w:eastAsia="仿宋_GB2312"/>
          <w:b/>
          <w:color w:val="auto"/>
          <w:sz w:val="24"/>
        </w:rPr>
        <w:t>四、交货时间</w:t>
      </w:r>
      <w:r>
        <w:rPr>
          <w:rFonts w:hint="eastAsia" w:ascii="仿宋_GB2312" w:hAnsi="宋体" w:eastAsia="仿宋_GB2312"/>
          <w:color w:val="auto"/>
          <w:sz w:val="24"/>
        </w:rPr>
        <w:t>：</w:t>
      </w:r>
      <w:r>
        <w:rPr>
          <w:rFonts w:hint="eastAsia" w:ascii="仿宋_GB2312" w:hAnsi="宋体" w:eastAsia="仿宋_GB2312"/>
          <w:color w:val="auto"/>
          <w:sz w:val="24"/>
        </w:rPr>
        <w:t>按用户指定要求分一期和二期时间完成</w:t>
      </w:r>
      <w:r>
        <w:rPr>
          <w:rFonts w:hint="eastAsia" w:ascii="仿宋_GB2312" w:hAnsi="宋体" w:eastAsia="仿宋_GB2312"/>
          <w:color w:val="auto"/>
          <w:sz w:val="24"/>
        </w:rPr>
        <w:t>。</w:t>
      </w:r>
    </w:p>
    <w:p>
      <w:pPr>
        <w:widowControl/>
        <w:adjustRightInd w:val="0"/>
        <w:snapToGrid w:val="0"/>
        <w:spacing w:before="19" w:line="30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 xml:space="preserve">五、交货地点：采购人指定地点   </w:t>
      </w:r>
    </w:p>
    <w:p>
      <w:pPr>
        <w:widowControl/>
        <w:tabs>
          <w:tab w:val="left" w:pos="425"/>
        </w:tabs>
        <w:adjustRightInd w:val="0"/>
        <w:snapToGrid w:val="0"/>
        <w:spacing w:before="19" w:line="300" w:lineRule="exact"/>
        <w:ind w:firstLine="482" w:firstLineChars="200"/>
        <w:rPr>
          <w:rFonts w:ascii="仿宋_GB2312" w:hAnsi="宋体" w:eastAsia="仿宋_GB2312"/>
          <w:color w:val="auto"/>
          <w:sz w:val="24"/>
        </w:rPr>
      </w:pPr>
      <w:r>
        <w:rPr>
          <w:rFonts w:hint="eastAsia" w:ascii="仿宋_GB2312" w:hAnsi="宋体" w:eastAsia="仿宋_GB2312"/>
          <w:b/>
          <w:color w:val="auto"/>
          <w:sz w:val="24"/>
        </w:rPr>
        <w:t>六、验收：</w:t>
      </w:r>
      <w:r>
        <w:rPr>
          <w:rFonts w:hint="eastAsia" w:ascii="仿宋_GB2312" w:hAnsi="宋体" w:eastAsia="仿宋_GB2312"/>
          <w:color w:val="auto"/>
          <w:sz w:val="24"/>
        </w:rPr>
        <w:t>甲方按采购文件相关要求进行。如需委托第三方验收，第三方是指</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，验收费用由甲方承担。</w:t>
      </w:r>
    </w:p>
    <w:p>
      <w:pPr>
        <w:widowControl/>
        <w:adjustRightInd w:val="0"/>
        <w:snapToGrid w:val="0"/>
        <w:spacing w:before="19" w:line="300" w:lineRule="exact"/>
        <w:ind w:firstLine="482" w:firstLineChars="200"/>
        <w:rPr>
          <w:rFonts w:ascii="仿宋_GB2312" w:hAnsi="宋体" w:eastAsia="仿宋_GB2312"/>
          <w:color w:val="auto"/>
          <w:sz w:val="24"/>
        </w:rPr>
      </w:pPr>
      <w:r>
        <w:rPr>
          <w:rFonts w:hint="eastAsia" w:ascii="仿宋_GB2312" w:hAnsi="宋体" w:eastAsia="仿宋_GB2312"/>
          <w:b/>
          <w:color w:val="auto"/>
          <w:sz w:val="24"/>
        </w:rPr>
        <w:t>七、付款：</w:t>
      </w:r>
      <w:r>
        <w:rPr>
          <w:rFonts w:hint="eastAsia" w:ascii="仿宋_GB2312" w:hAnsi="宋体" w:eastAsia="仿宋_GB2312"/>
          <w:color w:val="auto"/>
          <w:sz w:val="24"/>
        </w:rPr>
        <w:t>由甲方按省级机关政府采购规定的程序付款。</w:t>
      </w:r>
    </w:p>
    <w:p>
      <w:pPr>
        <w:widowControl/>
        <w:snapToGrid w:val="0"/>
        <w:spacing w:before="19" w:line="300" w:lineRule="exact"/>
        <w:ind w:firstLine="556" w:firstLineChars="232"/>
        <w:rPr>
          <w:rFonts w:ascii="仿宋_GB2312" w:eastAsia="仿宋_GB2312"/>
          <w:color w:val="auto"/>
          <w:sz w:val="24"/>
        </w:rPr>
      </w:pPr>
      <w:r>
        <w:rPr>
          <w:rFonts w:hint="eastAsia" w:ascii="仿宋_GB2312" w:hAnsi="宋体" w:eastAsia="仿宋_GB2312"/>
          <w:color w:val="auto"/>
          <w:sz w:val="24"/>
        </w:rPr>
        <w:t>1．</w:t>
      </w:r>
      <w:r>
        <w:rPr>
          <w:rFonts w:hint="eastAsia" w:ascii="仿宋_GB2312" w:hAnsi="宋体" w:eastAsia="仿宋_GB2312"/>
          <w:color w:val="auto"/>
          <w:sz w:val="24"/>
        </w:rPr>
        <w:t>该项目分</w:t>
      </w:r>
      <w:r>
        <w:rPr>
          <w:rFonts w:hint="eastAsia" w:ascii="仿宋_GB2312" w:hAnsi="Arial" w:eastAsia="仿宋_GB2312"/>
          <w:color w:val="auto"/>
          <w:sz w:val="24"/>
        </w:rPr>
        <w:t>第一期和第二期项目。第一期10个微课项目及5门在线开放课程完成验收审计后给付至合同</w:t>
      </w:r>
      <w:r>
        <w:rPr>
          <w:rFonts w:hint="eastAsia" w:ascii="仿宋_GB2312" w:hAnsi="Arial" w:eastAsia="仿宋_GB2312"/>
          <w:color w:val="auto"/>
          <w:sz w:val="24"/>
          <w:lang w:eastAsia="zh-CN"/>
        </w:rPr>
        <w:t>总</w:t>
      </w:r>
      <w:r>
        <w:rPr>
          <w:rFonts w:hint="eastAsia" w:ascii="仿宋_GB2312" w:hAnsi="Arial" w:eastAsia="仿宋_GB2312"/>
          <w:color w:val="auto"/>
          <w:sz w:val="24"/>
        </w:rPr>
        <w:t>金额</w:t>
      </w:r>
      <w:r>
        <w:rPr>
          <w:rFonts w:hint="eastAsia" w:ascii="仿宋_GB2312" w:hAnsi="Arial" w:eastAsia="仿宋_GB2312"/>
          <w:b/>
          <w:bCs/>
          <w:color w:val="auto"/>
          <w:sz w:val="24"/>
          <w:u w:val="single"/>
          <w:lang w:val="en-US" w:eastAsia="zh-CN"/>
        </w:rPr>
        <w:t>75</w:t>
      </w:r>
      <w:r>
        <w:rPr>
          <w:rFonts w:hint="eastAsia" w:ascii="仿宋_GB2312" w:hAnsi="Arial" w:eastAsia="仿宋_GB2312"/>
          <w:b/>
          <w:bCs/>
          <w:color w:val="auto"/>
          <w:sz w:val="24"/>
          <w:u w:val="single"/>
        </w:rPr>
        <w:t>%</w:t>
      </w:r>
      <w:r>
        <w:rPr>
          <w:rFonts w:hint="eastAsia" w:ascii="仿宋_GB2312" w:hAnsi="Arial" w:eastAsia="仿宋_GB2312"/>
          <w:color w:val="auto"/>
          <w:sz w:val="24"/>
        </w:rPr>
        <w:t>。第二期项目即剩余项目，乙方提交全部报告材料，通过甲乙双方共同正式验收合格并经过甲方审计部门审计无误后，支付至</w:t>
      </w:r>
      <w:r>
        <w:rPr>
          <w:rFonts w:hint="eastAsia" w:ascii="仿宋_GB2312" w:hAnsi="Arial" w:eastAsia="仿宋_GB2312"/>
          <w:b/>
          <w:bCs/>
          <w:color w:val="auto"/>
          <w:sz w:val="24"/>
          <w:u w:val="single"/>
        </w:rPr>
        <w:t xml:space="preserve"> 95  %</w:t>
      </w:r>
      <w:r>
        <w:rPr>
          <w:rFonts w:hint="eastAsia" w:ascii="仿宋_GB2312" w:hAnsi="Arial" w:eastAsia="仿宋_GB2312"/>
          <w:color w:val="auto"/>
          <w:sz w:val="24"/>
        </w:rPr>
        <w:t>，剩余</w:t>
      </w:r>
      <w:r>
        <w:rPr>
          <w:rFonts w:hint="eastAsia" w:ascii="仿宋_GB2312" w:hAnsi="Arial" w:eastAsia="仿宋_GB2312"/>
          <w:b/>
          <w:bCs/>
          <w:color w:val="auto"/>
          <w:sz w:val="24"/>
          <w:u w:val="single"/>
        </w:rPr>
        <w:t>5%</w:t>
      </w:r>
      <w:r>
        <w:rPr>
          <w:rFonts w:hint="eastAsia" w:ascii="仿宋_GB2312" w:hAnsi="Arial" w:eastAsia="仿宋_GB2312"/>
          <w:color w:val="auto"/>
          <w:sz w:val="24"/>
        </w:rPr>
        <w:t>在合同满一年后支付。同时无息退还乙方的合同履约保证金。</w:t>
      </w:r>
    </w:p>
    <w:p>
      <w:pPr>
        <w:widowControl/>
        <w:snapToGrid w:val="0"/>
        <w:spacing w:before="19" w:line="300" w:lineRule="exact"/>
        <w:ind w:firstLine="556" w:firstLineChars="232"/>
        <w:rPr>
          <w:rFonts w:ascii="仿宋_GB2312" w:eastAsia="仿宋_GB2312"/>
          <w:color w:val="auto"/>
          <w:sz w:val="24"/>
        </w:rPr>
      </w:pPr>
      <w:r>
        <w:rPr>
          <w:rFonts w:hint="eastAsia" w:ascii="仿宋_GB2312" w:hAnsi="Arial" w:eastAsia="仿宋_GB2312"/>
          <w:color w:val="auto"/>
          <w:sz w:val="24"/>
        </w:rPr>
        <w:t>设备安装调试结束，</w:t>
      </w:r>
      <w:r>
        <w:rPr>
          <w:rFonts w:hint="eastAsia" w:ascii="仿宋_GB2312" w:hAnsi="宋体" w:eastAsia="仿宋_GB2312" w:cs="宋体"/>
          <w:color w:val="auto"/>
          <w:sz w:val="24"/>
        </w:rPr>
        <w:t>乙方提交全部报告材料，通过甲乙双方共同正式验收合格并经过甲方审计部门审计无误后，支付至</w:t>
      </w:r>
      <w:r>
        <w:rPr>
          <w:rFonts w:hint="eastAsia" w:ascii="仿宋_GB2312" w:hAnsi="宋体" w:eastAsia="仿宋_GB2312" w:cs="宋体"/>
          <w:color w:val="auto"/>
          <w:sz w:val="24"/>
          <w:u w:val="single"/>
        </w:rPr>
        <w:t xml:space="preserve"> </w:t>
      </w:r>
      <w:r>
        <w:rPr>
          <w:rFonts w:hint="eastAsia" w:ascii="仿宋_GB2312" w:hAnsi="宋体" w:eastAsia="仿宋_GB2312" w:cs="宋体"/>
          <w:b/>
          <w:color w:val="auto"/>
          <w:sz w:val="24"/>
          <w:u w:val="single"/>
        </w:rPr>
        <w:t>95</w:t>
      </w:r>
      <w:r>
        <w:rPr>
          <w:rFonts w:hint="eastAsia" w:ascii="仿宋_GB2312" w:hAnsi="宋体" w:eastAsia="仿宋_GB2312" w:cs="宋体"/>
          <w:color w:val="auto"/>
          <w:sz w:val="24"/>
          <w:u w:val="single"/>
        </w:rPr>
        <w:t xml:space="preserve">  </w:t>
      </w:r>
      <w:r>
        <w:rPr>
          <w:rFonts w:hint="eastAsia" w:ascii="仿宋_GB2312" w:hAnsi="宋体" w:eastAsia="仿宋_GB2312" w:cs="宋体"/>
          <w:color w:val="auto"/>
          <w:sz w:val="24"/>
        </w:rPr>
        <w:t>%，</w:t>
      </w:r>
      <w:r>
        <w:rPr>
          <w:rFonts w:hint="eastAsia" w:ascii="仿宋_GB2312" w:eastAsia="仿宋_GB2312"/>
          <w:color w:val="auto"/>
          <w:sz w:val="24"/>
        </w:rPr>
        <w:t>同时无息退还乙方的合同履约保</w:t>
      </w:r>
      <w:bookmarkStart w:id="24" w:name="_GoBack"/>
      <w:bookmarkEnd w:id="24"/>
      <w:r>
        <w:rPr>
          <w:rFonts w:hint="eastAsia" w:ascii="仿宋_GB2312" w:eastAsia="仿宋_GB2312"/>
          <w:color w:val="auto"/>
          <w:sz w:val="24"/>
        </w:rPr>
        <w:t>证金。</w:t>
      </w:r>
    </w:p>
    <w:p>
      <w:pPr>
        <w:widowControl/>
        <w:adjustRightInd w:val="0"/>
        <w:snapToGrid w:val="0"/>
        <w:spacing w:before="19" w:line="300" w:lineRule="exact"/>
        <w:ind w:firstLine="560"/>
        <w:rPr>
          <w:rFonts w:ascii="仿宋_GB2312" w:hAnsi="宋体" w:eastAsia="仿宋_GB2312"/>
          <w:color w:val="auto"/>
          <w:sz w:val="24"/>
        </w:rPr>
      </w:pPr>
      <w:r>
        <w:rPr>
          <w:rFonts w:hint="eastAsia" w:ascii="仿宋_GB2312" w:eastAsia="仿宋_GB2312"/>
          <w:color w:val="auto"/>
          <w:sz w:val="24"/>
        </w:rPr>
        <w:t>2．</w:t>
      </w:r>
      <w:r>
        <w:rPr>
          <w:rFonts w:hint="eastAsia" w:ascii="仿宋_GB2312" w:hAnsi="宋体" w:eastAsia="仿宋_GB2312"/>
          <w:color w:val="auto"/>
          <w:sz w:val="24"/>
        </w:rPr>
        <w:t>合同期满，经甲方确认在合同期内使用正常，付清5％余款。</w:t>
      </w:r>
    </w:p>
    <w:p>
      <w:pPr>
        <w:widowControl/>
        <w:adjustRightInd w:val="0"/>
        <w:snapToGrid w:val="0"/>
        <w:spacing w:before="19" w:line="300" w:lineRule="exact"/>
        <w:ind w:firstLine="482" w:firstLineChars="200"/>
        <w:rPr>
          <w:rFonts w:ascii="仿宋_GB2312" w:hAnsi="宋体" w:eastAsia="仿宋_GB2312"/>
          <w:color w:val="auto"/>
          <w:sz w:val="24"/>
        </w:rPr>
      </w:pPr>
      <w:r>
        <w:rPr>
          <w:rFonts w:hint="eastAsia" w:ascii="仿宋_GB2312" w:hAnsi="宋体" w:eastAsia="仿宋_GB2312"/>
          <w:b/>
          <w:color w:val="auto"/>
          <w:sz w:val="24"/>
        </w:rPr>
        <w:t>八、合同纠纷处理</w:t>
      </w:r>
      <w:r>
        <w:rPr>
          <w:rFonts w:hint="eastAsia" w:ascii="仿宋_GB2312" w:hAnsi="宋体" w:eastAsia="仿宋_GB2312"/>
          <w:color w:val="auto"/>
          <w:sz w:val="24"/>
        </w:rPr>
        <w:t>：本合同执行过程中发生纠纷，由甲乙双方协商处理。协商未果，向甲方所在地人民法院起诉。</w:t>
      </w:r>
    </w:p>
    <w:p>
      <w:pPr>
        <w:widowControl/>
        <w:adjustRightInd w:val="0"/>
        <w:snapToGrid w:val="0"/>
        <w:spacing w:before="19" w:line="300" w:lineRule="exact"/>
        <w:ind w:firstLine="482" w:firstLineChars="200"/>
        <w:rPr>
          <w:rFonts w:ascii="仿宋_GB2312" w:hAnsi="宋体" w:eastAsia="仿宋_GB2312"/>
          <w:color w:val="auto"/>
          <w:sz w:val="24"/>
        </w:rPr>
      </w:pPr>
      <w:r>
        <w:rPr>
          <w:rFonts w:hint="eastAsia" w:ascii="仿宋_GB2312" w:hAnsi="宋体" w:eastAsia="仿宋_GB2312"/>
          <w:b/>
          <w:color w:val="auto"/>
          <w:sz w:val="24"/>
        </w:rPr>
        <w:t>九、合同生效</w:t>
      </w:r>
      <w:r>
        <w:rPr>
          <w:rFonts w:hint="eastAsia" w:ascii="仿宋_GB2312" w:hAnsi="宋体" w:eastAsia="仿宋_GB2312"/>
          <w:color w:val="auto"/>
          <w:sz w:val="24"/>
        </w:rPr>
        <w:t>：本合同由甲乙双方签章后生效。</w:t>
      </w:r>
    </w:p>
    <w:p>
      <w:pPr>
        <w:widowControl/>
        <w:adjustRightInd w:val="0"/>
        <w:snapToGrid w:val="0"/>
        <w:spacing w:before="19" w:line="300" w:lineRule="exact"/>
        <w:ind w:firstLine="482" w:firstLineChars="200"/>
        <w:rPr>
          <w:rFonts w:ascii="仿宋_GB2312" w:hAnsi="宋体" w:eastAsia="仿宋_GB2312"/>
          <w:color w:val="auto"/>
          <w:sz w:val="24"/>
        </w:rPr>
      </w:pPr>
      <w:r>
        <w:rPr>
          <w:rFonts w:hint="eastAsia" w:ascii="仿宋_GB2312" w:hAnsi="宋体" w:eastAsia="仿宋_GB2312"/>
          <w:b/>
          <w:color w:val="auto"/>
          <w:sz w:val="24"/>
        </w:rPr>
        <w:t>十、组成本合同的文件包括</w:t>
      </w:r>
      <w:r>
        <w:rPr>
          <w:rFonts w:hint="eastAsia" w:ascii="仿宋_GB2312" w:hAnsi="宋体" w:eastAsia="仿宋_GB2312"/>
          <w:color w:val="auto"/>
          <w:sz w:val="24"/>
        </w:rPr>
        <w:t>：合同通用条款和专用条款；邀请报价采购文件和乙方的报价文件；乙方的承诺书及澄清文件；甲乙双方商定的其他必要文件。上述合同文件内容互为补充，如有不明确，由甲方负责解释。</w:t>
      </w:r>
    </w:p>
    <w:p>
      <w:pPr>
        <w:widowControl/>
        <w:adjustRightInd w:val="0"/>
        <w:snapToGrid w:val="0"/>
        <w:spacing w:before="19" w:line="30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十一、合同备案</w:t>
      </w:r>
    </w:p>
    <w:p>
      <w:pPr>
        <w:widowControl/>
        <w:adjustRightInd w:val="0"/>
        <w:snapToGrid w:val="0"/>
        <w:spacing w:before="19" w:line="300" w:lineRule="exact"/>
        <w:ind w:firstLine="555"/>
        <w:rPr>
          <w:rFonts w:ascii="仿宋_GB2312" w:hAnsi="宋体" w:eastAsia="仿宋_GB2312"/>
          <w:b/>
          <w:color w:val="auto"/>
          <w:sz w:val="24"/>
        </w:rPr>
      </w:pPr>
      <w:r>
        <w:rPr>
          <w:rFonts w:hint="eastAsia" w:ascii="仿宋_GB2312" w:hAnsi="宋体" w:eastAsia="仿宋_GB2312"/>
          <w:color w:val="auto"/>
          <w:sz w:val="24"/>
        </w:rPr>
        <w:t xml:space="preserve"> 本合同一式叁份，中文书写。甲乙双方各执一份，另一份由甲方备案。</w:t>
      </w:r>
    </w:p>
    <w:p>
      <w:pPr>
        <w:widowControl/>
        <w:adjustRightInd w:val="0"/>
        <w:snapToGrid w:val="0"/>
        <w:spacing w:before="19" w:line="300" w:lineRule="exact"/>
        <w:rPr>
          <w:rFonts w:ascii="仿宋_GB2312" w:hAnsi="宋体" w:eastAsia="仿宋_GB2312"/>
          <w:b/>
          <w:color w:val="auto"/>
          <w:sz w:val="24"/>
        </w:rPr>
      </w:pPr>
    </w:p>
    <w:p>
      <w:pPr>
        <w:widowControl/>
        <w:adjustRightInd w:val="0"/>
        <w:snapToGrid w:val="0"/>
        <w:spacing w:before="19" w:line="300" w:lineRule="exact"/>
        <w:rPr>
          <w:rFonts w:ascii="仿宋_GB2312" w:hAnsi="宋体" w:eastAsia="仿宋_GB2312"/>
          <w:b/>
          <w:color w:val="auto"/>
          <w:sz w:val="24"/>
        </w:rPr>
      </w:pPr>
      <w:r>
        <w:rPr>
          <w:rFonts w:hint="eastAsia" w:ascii="仿宋_GB2312" w:hAnsi="宋体" w:eastAsia="仿宋_GB2312"/>
          <w:b/>
          <w:color w:val="auto"/>
          <w:sz w:val="24"/>
        </w:rPr>
        <w:t>甲方</w:t>
      </w:r>
      <w:r>
        <w:rPr>
          <w:rFonts w:hint="eastAsia" w:ascii="仿宋_GB2312" w:hAnsi="宋体" w:eastAsia="仿宋_GB2312"/>
          <w:b/>
          <w:color w:val="auto"/>
          <w:sz w:val="24"/>
          <w:u w:val="single"/>
        </w:rPr>
        <w:t xml:space="preserve">：                              </w:t>
      </w:r>
      <w:r>
        <w:rPr>
          <w:rFonts w:hint="eastAsia" w:ascii="仿宋_GB2312" w:hAnsi="宋体" w:eastAsia="仿宋_GB2312"/>
          <w:b/>
          <w:color w:val="auto"/>
          <w:sz w:val="24"/>
        </w:rPr>
        <w:t>（盖章）</w:t>
      </w:r>
    </w:p>
    <w:p>
      <w:pPr>
        <w:widowControl/>
        <w:adjustRightInd w:val="0"/>
        <w:snapToGrid w:val="0"/>
        <w:spacing w:before="19" w:line="300" w:lineRule="exact"/>
        <w:rPr>
          <w:rFonts w:ascii="仿宋_GB2312" w:hAnsi="宋体" w:eastAsia="仿宋_GB2312"/>
          <w:color w:val="auto"/>
          <w:sz w:val="24"/>
          <w:u w:val="single"/>
        </w:rPr>
      </w:pPr>
      <w:r>
        <w:rPr>
          <w:rFonts w:hint="eastAsia" w:ascii="仿宋_GB2312" w:hAnsi="宋体" w:eastAsia="仿宋_GB2312"/>
          <w:color w:val="auto"/>
          <w:sz w:val="24"/>
        </w:rPr>
        <w:t>地址：</w:t>
      </w:r>
      <w:r>
        <w:rPr>
          <w:rFonts w:hint="eastAsia" w:ascii="仿宋_GB2312" w:hAnsi="宋体" w:eastAsia="仿宋_GB2312"/>
          <w:color w:val="auto"/>
          <w:sz w:val="24"/>
          <w:u w:val="single"/>
        </w:rPr>
        <w:t xml:space="preserve">                                      </w:t>
      </w:r>
    </w:p>
    <w:p>
      <w:pPr>
        <w:widowControl/>
        <w:adjustRightInd w:val="0"/>
        <w:snapToGrid w:val="0"/>
        <w:spacing w:before="19" w:line="300" w:lineRule="exact"/>
        <w:rPr>
          <w:rFonts w:ascii="仿宋_GB2312" w:hAnsi="宋体" w:eastAsia="仿宋_GB2312"/>
          <w:color w:val="auto"/>
          <w:sz w:val="24"/>
        </w:rPr>
      </w:pPr>
      <w:r>
        <w:rPr>
          <w:rFonts w:hint="eastAsia" w:ascii="仿宋_GB2312" w:hAnsi="宋体" w:eastAsia="仿宋_GB2312"/>
          <w:color w:val="auto"/>
          <w:sz w:val="24"/>
        </w:rPr>
        <w:t>授权代理人</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widowControl/>
        <w:adjustRightInd w:val="0"/>
        <w:snapToGrid w:val="0"/>
        <w:spacing w:before="19" w:line="300" w:lineRule="exact"/>
        <w:rPr>
          <w:rFonts w:ascii="仿宋_GB2312" w:hAnsi="宋体" w:eastAsia="仿宋_GB2312"/>
          <w:color w:val="auto"/>
          <w:sz w:val="24"/>
        </w:rPr>
      </w:pPr>
      <w:r>
        <w:rPr>
          <w:rFonts w:hint="eastAsia" w:ascii="仿宋_GB2312" w:hAnsi="宋体" w:eastAsia="仿宋_GB2312"/>
          <w:color w:val="auto"/>
          <w:sz w:val="24"/>
        </w:rPr>
        <w:t>二○一</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w:t>
      </w:r>
    </w:p>
    <w:p>
      <w:pPr>
        <w:widowControl/>
        <w:adjustRightInd w:val="0"/>
        <w:snapToGrid w:val="0"/>
        <w:spacing w:before="19" w:line="300" w:lineRule="exact"/>
        <w:rPr>
          <w:rFonts w:ascii="仿宋_GB2312" w:hAnsi="宋体" w:eastAsia="仿宋_GB2312"/>
          <w:b/>
          <w:color w:val="auto"/>
          <w:sz w:val="24"/>
        </w:rPr>
      </w:pPr>
    </w:p>
    <w:p>
      <w:pPr>
        <w:widowControl/>
        <w:adjustRightInd w:val="0"/>
        <w:snapToGrid w:val="0"/>
        <w:spacing w:before="19" w:line="300" w:lineRule="exact"/>
        <w:rPr>
          <w:rFonts w:ascii="仿宋_GB2312" w:hAnsi="宋体" w:eastAsia="仿宋_GB2312"/>
          <w:b/>
          <w:color w:val="auto"/>
          <w:sz w:val="24"/>
        </w:rPr>
      </w:pPr>
      <w:r>
        <w:rPr>
          <w:rFonts w:hint="eastAsia" w:ascii="仿宋_GB2312" w:hAnsi="宋体" w:eastAsia="仿宋_GB2312"/>
          <w:b/>
          <w:color w:val="auto"/>
          <w:sz w:val="24"/>
        </w:rPr>
        <w:t>乙方</w:t>
      </w:r>
      <w:r>
        <w:rPr>
          <w:rFonts w:hint="eastAsia" w:ascii="仿宋_GB2312" w:hAnsi="宋体" w:eastAsia="仿宋_GB2312"/>
          <w:b/>
          <w:color w:val="auto"/>
          <w:sz w:val="24"/>
          <w:u w:val="single"/>
        </w:rPr>
        <w:t xml:space="preserve">：                              </w:t>
      </w:r>
      <w:r>
        <w:rPr>
          <w:rFonts w:hint="eastAsia" w:ascii="仿宋_GB2312" w:hAnsi="宋体" w:eastAsia="仿宋_GB2312"/>
          <w:b/>
          <w:color w:val="auto"/>
          <w:sz w:val="24"/>
        </w:rPr>
        <w:t>（盖章）</w:t>
      </w:r>
    </w:p>
    <w:p>
      <w:pPr>
        <w:widowControl/>
        <w:adjustRightInd w:val="0"/>
        <w:snapToGrid w:val="0"/>
        <w:spacing w:before="19" w:line="300" w:lineRule="exact"/>
        <w:rPr>
          <w:rFonts w:ascii="仿宋_GB2312" w:hAnsi="宋体" w:eastAsia="仿宋_GB2312"/>
          <w:color w:val="auto"/>
          <w:sz w:val="24"/>
          <w:u w:val="single"/>
        </w:rPr>
      </w:pPr>
      <w:r>
        <w:rPr>
          <w:rFonts w:hint="eastAsia" w:ascii="仿宋_GB2312" w:hAnsi="宋体" w:eastAsia="仿宋_GB2312"/>
          <w:color w:val="auto"/>
          <w:sz w:val="24"/>
        </w:rPr>
        <w:t>地址：</w:t>
      </w:r>
      <w:r>
        <w:rPr>
          <w:rFonts w:hint="eastAsia" w:ascii="仿宋_GB2312" w:hAnsi="宋体" w:eastAsia="仿宋_GB2312"/>
          <w:color w:val="auto"/>
          <w:sz w:val="24"/>
          <w:u w:val="single"/>
        </w:rPr>
        <w:t xml:space="preserve">                                      </w:t>
      </w:r>
    </w:p>
    <w:p>
      <w:pPr>
        <w:widowControl/>
        <w:adjustRightInd w:val="0"/>
        <w:snapToGrid w:val="0"/>
        <w:spacing w:before="19" w:line="300" w:lineRule="exact"/>
        <w:rPr>
          <w:rFonts w:ascii="仿宋_GB2312" w:hAnsi="宋体" w:eastAsia="仿宋_GB2312"/>
          <w:color w:val="auto"/>
          <w:sz w:val="24"/>
        </w:rPr>
      </w:pPr>
      <w:r>
        <w:rPr>
          <w:rFonts w:hint="eastAsia" w:ascii="仿宋_GB2312" w:hAnsi="宋体" w:eastAsia="仿宋_GB2312"/>
          <w:color w:val="auto"/>
          <w:sz w:val="24"/>
        </w:rPr>
        <w:t>法定（授权）代表人</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widowControl/>
        <w:adjustRightInd w:val="0"/>
        <w:snapToGrid w:val="0"/>
        <w:spacing w:before="19" w:line="300" w:lineRule="exact"/>
        <w:rPr>
          <w:rFonts w:ascii="仿宋_GB2312" w:hAnsi="宋体" w:eastAsia="仿宋_GB2312"/>
          <w:color w:val="auto"/>
          <w:sz w:val="24"/>
        </w:rPr>
      </w:pPr>
      <w:r>
        <w:rPr>
          <w:rFonts w:hint="eastAsia" w:ascii="仿宋_GB2312" w:hAnsi="宋体" w:eastAsia="仿宋_GB2312"/>
          <w:color w:val="auto"/>
          <w:sz w:val="24"/>
        </w:rPr>
        <w:t>二○一</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w:t>
      </w:r>
    </w:p>
    <w:p>
      <w:pPr>
        <w:widowControl/>
        <w:adjustRightInd w:val="0"/>
        <w:snapToGrid w:val="0"/>
        <w:spacing w:before="19" w:line="300" w:lineRule="exact"/>
        <w:rPr>
          <w:rFonts w:ascii="仿宋_GB2312" w:hAnsi="宋体" w:eastAsia="仿宋_GB2312"/>
          <w:color w:val="auto"/>
          <w:sz w:val="24"/>
          <w:u w:val="single"/>
        </w:rPr>
      </w:pPr>
      <w:r>
        <w:rPr>
          <w:rFonts w:hint="eastAsia" w:ascii="仿宋_GB2312" w:hAnsi="宋体" w:eastAsia="仿宋_GB2312"/>
          <w:color w:val="auto"/>
          <w:sz w:val="24"/>
        </w:rPr>
        <w:t>组织机构代码证号：</w:t>
      </w:r>
      <w:r>
        <w:rPr>
          <w:rFonts w:hint="eastAsia" w:ascii="仿宋_GB2312" w:hAnsi="宋体" w:eastAsia="仿宋_GB2312"/>
          <w:color w:val="auto"/>
          <w:sz w:val="24"/>
          <w:u w:val="single"/>
        </w:rPr>
        <w:t xml:space="preserve">                          </w:t>
      </w:r>
    </w:p>
    <w:p>
      <w:pPr>
        <w:widowControl/>
        <w:adjustRightInd w:val="0"/>
        <w:snapToGrid w:val="0"/>
        <w:spacing w:before="19" w:line="300" w:lineRule="exact"/>
        <w:rPr>
          <w:rFonts w:ascii="仿宋_GB2312" w:hAnsi="宋体" w:eastAsia="仿宋_GB2312"/>
          <w:color w:val="auto"/>
          <w:sz w:val="24"/>
        </w:rPr>
      </w:pPr>
      <w:r>
        <w:rPr>
          <w:rFonts w:hint="eastAsia" w:ascii="仿宋_GB2312" w:hAnsi="宋体" w:eastAsia="仿宋_GB2312"/>
          <w:color w:val="auto"/>
          <w:sz w:val="24"/>
        </w:rPr>
        <w:t>户名：</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widowControl/>
        <w:adjustRightInd w:val="0"/>
        <w:snapToGrid w:val="0"/>
        <w:spacing w:before="19" w:line="300" w:lineRule="exact"/>
        <w:rPr>
          <w:rFonts w:ascii="仿宋_GB2312" w:hAnsi="宋体" w:eastAsia="仿宋_GB2312"/>
          <w:color w:val="auto"/>
          <w:sz w:val="24"/>
        </w:rPr>
      </w:pPr>
      <w:r>
        <w:rPr>
          <w:rFonts w:hint="eastAsia" w:ascii="仿宋_GB2312" w:hAnsi="宋体" w:eastAsia="仿宋_GB2312"/>
          <w:color w:val="auto"/>
          <w:sz w:val="24"/>
        </w:rPr>
        <w:t>开户银行：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widowControl/>
        <w:adjustRightInd w:val="0"/>
        <w:snapToGrid w:val="0"/>
        <w:spacing w:before="19" w:line="300" w:lineRule="exact"/>
        <w:rPr>
          <w:rFonts w:ascii="仿宋_GB2312" w:hAnsi="宋体" w:eastAsia="仿宋_GB2312"/>
          <w:color w:val="auto"/>
          <w:sz w:val="24"/>
        </w:rPr>
      </w:pPr>
      <w:r>
        <w:rPr>
          <w:rFonts w:hint="eastAsia" w:ascii="仿宋_GB2312" w:hAnsi="宋体" w:eastAsia="仿宋_GB2312"/>
          <w:color w:val="auto"/>
          <w:sz w:val="24"/>
        </w:rPr>
        <w:t>账号：</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widowControl/>
        <w:adjustRightInd w:val="0"/>
        <w:snapToGrid w:val="0"/>
        <w:spacing w:before="19" w:line="300" w:lineRule="exact"/>
        <w:rPr>
          <w:rFonts w:ascii="仿宋_GB2312" w:hAnsi="宋体" w:eastAsia="仿宋_GB2312"/>
          <w:b/>
          <w:color w:val="auto"/>
          <w:sz w:val="24"/>
        </w:rPr>
      </w:pPr>
      <w:r>
        <w:rPr>
          <w:rFonts w:hint="eastAsia" w:ascii="仿宋_GB2312" w:hAnsi="宋体" w:eastAsia="仿宋_GB2312"/>
          <w:b/>
          <w:color w:val="auto"/>
          <w:sz w:val="24"/>
        </w:rPr>
        <w:t xml:space="preserve">     </w:t>
      </w:r>
    </w:p>
    <w:p>
      <w:pPr>
        <w:widowControl/>
        <w:adjustRightInd w:val="0"/>
        <w:snapToGrid w:val="0"/>
        <w:spacing w:before="19" w:line="300" w:lineRule="exact"/>
        <w:rPr>
          <w:rFonts w:ascii="仿宋_GB2312" w:hAnsi="宋体" w:eastAsia="仿宋_GB2312"/>
          <w:b/>
          <w:color w:val="auto"/>
          <w:sz w:val="24"/>
        </w:rPr>
      </w:pPr>
    </w:p>
    <w:p>
      <w:pPr>
        <w:snapToGrid w:val="0"/>
        <w:spacing w:line="340" w:lineRule="exact"/>
        <w:ind w:firstLine="420" w:firstLineChars="200"/>
        <w:rPr>
          <w:color w:val="auto"/>
        </w:rPr>
      </w:pPr>
    </w:p>
    <w:p>
      <w:pPr>
        <w:pStyle w:val="2"/>
        <w:spacing w:line="320" w:lineRule="exact"/>
        <w:rPr>
          <w:rFonts w:ascii="仿宋_GB2312" w:eastAsia="仿宋_GB2312"/>
          <w:color w:val="auto"/>
          <w:sz w:val="24"/>
        </w:rPr>
      </w:pPr>
      <w:r>
        <w:rPr>
          <w:rFonts w:hint="eastAsia" w:ascii="仿宋_GB2312" w:eastAsia="仿宋_GB2312"/>
          <w:color w:val="auto"/>
          <w:sz w:val="24"/>
        </w:rPr>
        <w:t>合同通用条款</w:t>
      </w:r>
      <w:bookmarkStart w:id="0" w:name="_Toc162083538"/>
    </w:p>
    <w:p>
      <w:pPr>
        <w:pStyle w:val="2"/>
        <w:spacing w:line="320" w:lineRule="exact"/>
        <w:jc w:val="both"/>
        <w:rPr>
          <w:rFonts w:ascii="仿宋_GB2312" w:hAnsi="宋体" w:eastAsia="仿宋_GB2312"/>
          <w:color w:val="auto"/>
          <w:sz w:val="24"/>
        </w:rPr>
      </w:pPr>
      <w:r>
        <w:rPr>
          <w:rFonts w:hint="eastAsia" w:ascii="仿宋_GB2312" w:eastAsia="仿宋_GB2312"/>
          <w:color w:val="auto"/>
          <w:sz w:val="24"/>
        </w:rPr>
        <w:t>1．定义</w:t>
      </w:r>
      <w:bookmarkEnd w:id="0"/>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本合同下列术语应解释为：</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1.1“合同”系指甲方和乙方（以下简称合同双方）签署的、合同格式中列明的合同双方所达成的协议，包括所有的附件、附录和构成合同的所有文件。</w:t>
      </w:r>
    </w:p>
    <w:p>
      <w:pPr>
        <w:spacing w:line="320" w:lineRule="exact"/>
        <w:rPr>
          <w:rFonts w:ascii="仿宋_GB2312" w:hAnsi="宋体" w:eastAsia="仿宋_GB2312"/>
          <w:color w:val="auto"/>
          <w:sz w:val="24"/>
        </w:rPr>
      </w:pPr>
      <w:r>
        <w:rPr>
          <w:rFonts w:hint="eastAsia" w:ascii="仿宋_GB2312" w:hAnsi="宋体" w:eastAsia="仿宋_GB2312"/>
          <w:color w:val="auto"/>
          <w:sz w:val="24"/>
        </w:rPr>
        <w:t xml:space="preserve">    1.2“合同价”系指根据合同规定，乙方在完全履行合同义务后甲方应付给乙方的价格。</w:t>
      </w:r>
    </w:p>
    <w:p>
      <w:pPr>
        <w:spacing w:line="320" w:lineRule="exact"/>
        <w:rPr>
          <w:rFonts w:ascii="仿宋_GB2312" w:hAnsi="宋体" w:eastAsia="仿宋_GB2312"/>
          <w:color w:val="auto"/>
          <w:sz w:val="24"/>
        </w:rPr>
      </w:pPr>
      <w:r>
        <w:rPr>
          <w:rFonts w:hint="eastAsia" w:ascii="仿宋_GB2312" w:hAnsi="宋体" w:eastAsia="仿宋_GB2312"/>
          <w:color w:val="auto"/>
          <w:sz w:val="24"/>
        </w:rPr>
        <w:t xml:space="preserve">    1.3“货物（含软件及相关服务）”系指乙方按合同要求，须向甲方提供的一切设备、机械、仪器、备件、工具、技术及手册等有关资料。"工程"系指按合同要求进行施工。</w:t>
      </w:r>
    </w:p>
    <w:p>
      <w:pPr>
        <w:spacing w:line="320" w:lineRule="exact"/>
        <w:rPr>
          <w:rFonts w:ascii="仿宋_GB2312" w:hAnsi="宋体" w:eastAsia="仿宋_GB2312"/>
          <w:color w:val="auto"/>
          <w:sz w:val="24"/>
        </w:rPr>
      </w:pPr>
      <w:r>
        <w:rPr>
          <w:rFonts w:hint="eastAsia" w:ascii="仿宋_GB2312" w:hAnsi="宋体" w:eastAsia="仿宋_GB2312"/>
          <w:color w:val="auto"/>
          <w:sz w:val="24"/>
        </w:rPr>
        <w:t xml:space="preserve">    1.4“服务”系指根据合同规定乙方承担与供货有关的所有辅助服务，如运输、保险以及其它的服务，如安装、调试、提供技术援助、培训及其他类似的义务。</w:t>
      </w:r>
    </w:p>
    <w:p>
      <w:pPr>
        <w:spacing w:line="320" w:lineRule="exact"/>
        <w:rPr>
          <w:rFonts w:ascii="仿宋_GB2312" w:hAnsi="宋体" w:eastAsia="仿宋_GB2312"/>
          <w:color w:val="auto"/>
          <w:sz w:val="24"/>
        </w:rPr>
      </w:pPr>
      <w:r>
        <w:rPr>
          <w:rFonts w:hint="eastAsia" w:ascii="仿宋_GB2312" w:hAnsi="宋体" w:eastAsia="仿宋_GB2312"/>
          <w:color w:val="auto"/>
          <w:sz w:val="24"/>
        </w:rPr>
        <w:t xml:space="preserve">    1.5“甲方”系指购买货物（含软件及相关服务）的单位。</w:t>
      </w:r>
    </w:p>
    <w:p>
      <w:pPr>
        <w:spacing w:line="320" w:lineRule="exact"/>
        <w:rPr>
          <w:rFonts w:ascii="仿宋_GB2312" w:hAnsi="宋体" w:eastAsia="仿宋_GB2312"/>
          <w:color w:val="auto"/>
          <w:sz w:val="24"/>
        </w:rPr>
      </w:pPr>
      <w:r>
        <w:rPr>
          <w:rFonts w:hint="eastAsia" w:ascii="仿宋_GB2312" w:hAnsi="宋体" w:eastAsia="仿宋_GB2312"/>
          <w:color w:val="auto"/>
          <w:sz w:val="24"/>
        </w:rPr>
        <w:t xml:space="preserve">    1.6“乙方”系指根据合同规定提供货物（含软件及相关服务）和服务的制造商或代理商。</w:t>
      </w:r>
    </w:p>
    <w:p>
      <w:pPr>
        <w:spacing w:line="320" w:lineRule="exact"/>
        <w:rPr>
          <w:rFonts w:ascii="仿宋_GB2312" w:hAnsi="宋体" w:eastAsia="仿宋_GB2312"/>
          <w:color w:val="auto"/>
          <w:sz w:val="24"/>
        </w:rPr>
      </w:pPr>
      <w:r>
        <w:rPr>
          <w:rFonts w:hint="eastAsia" w:ascii="仿宋_GB2312" w:hAnsi="宋体" w:eastAsia="仿宋_GB2312"/>
          <w:color w:val="auto"/>
          <w:sz w:val="24"/>
        </w:rPr>
        <w:t xml:space="preserve">    1.7“现场”系指将要进行货物（含软件及相关服务）安装和调试的地点。</w:t>
      </w:r>
    </w:p>
    <w:p>
      <w:pPr>
        <w:pStyle w:val="3"/>
        <w:spacing w:before="0" w:after="0" w:line="320" w:lineRule="exact"/>
        <w:rPr>
          <w:rFonts w:ascii="仿宋_GB2312" w:hAnsi="宋体" w:eastAsia="仿宋_GB2312"/>
          <w:color w:val="auto"/>
          <w:sz w:val="24"/>
          <w:szCs w:val="24"/>
        </w:rPr>
      </w:pPr>
      <w:bookmarkStart w:id="1" w:name="_Toc162083539"/>
      <w:r>
        <w:rPr>
          <w:rFonts w:hint="eastAsia" w:ascii="仿宋_GB2312" w:hAnsi="宋体" w:eastAsia="仿宋_GB2312"/>
          <w:color w:val="auto"/>
          <w:sz w:val="24"/>
          <w:szCs w:val="24"/>
        </w:rPr>
        <w:t>2．技术规范</w:t>
      </w:r>
      <w:bookmarkEnd w:id="1"/>
    </w:p>
    <w:p>
      <w:pPr>
        <w:spacing w:line="320" w:lineRule="exact"/>
        <w:ind w:firstLine="470" w:firstLineChars="196"/>
        <w:rPr>
          <w:rFonts w:ascii="仿宋_GB2312" w:hAnsi="宋体" w:eastAsia="仿宋_GB2312"/>
          <w:b/>
          <w:color w:val="auto"/>
          <w:sz w:val="24"/>
        </w:rPr>
      </w:pPr>
      <w:r>
        <w:rPr>
          <w:rFonts w:hint="eastAsia" w:ascii="仿宋_GB2312" w:hAnsi="宋体" w:eastAsia="仿宋_GB2312"/>
          <w:color w:val="auto"/>
          <w:sz w:val="24"/>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pPr>
        <w:pStyle w:val="3"/>
        <w:spacing w:before="0" w:after="0" w:line="320" w:lineRule="exact"/>
        <w:rPr>
          <w:rFonts w:ascii="仿宋_GB2312" w:hAnsi="宋体" w:eastAsia="仿宋_GB2312"/>
          <w:color w:val="auto"/>
          <w:sz w:val="24"/>
          <w:szCs w:val="24"/>
        </w:rPr>
      </w:pPr>
      <w:bookmarkStart w:id="2" w:name="_Toc162083540"/>
      <w:r>
        <w:rPr>
          <w:rFonts w:hint="eastAsia" w:ascii="仿宋_GB2312" w:hAnsi="宋体" w:eastAsia="仿宋_GB2312"/>
          <w:color w:val="auto"/>
          <w:sz w:val="24"/>
          <w:szCs w:val="24"/>
        </w:rPr>
        <w:t>3．专利权</w:t>
      </w:r>
      <w:bookmarkEnd w:id="2"/>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pPr>
        <w:pStyle w:val="3"/>
        <w:spacing w:before="0" w:after="0" w:line="320" w:lineRule="exact"/>
        <w:rPr>
          <w:rFonts w:ascii="仿宋_GB2312" w:hAnsi="宋体" w:eastAsia="仿宋_GB2312"/>
          <w:color w:val="auto"/>
          <w:sz w:val="24"/>
          <w:szCs w:val="24"/>
        </w:rPr>
      </w:pPr>
      <w:bookmarkStart w:id="3" w:name="_Toc162083541"/>
      <w:r>
        <w:rPr>
          <w:rFonts w:hint="eastAsia" w:ascii="仿宋_GB2312" w:hAnsi="宋体" w:eastAsia="仿宋_GB2312"/>
          <w:color w:val="auto"/>
          <w:sz w:val="24"/>
          <w:szCs w:val="24"/>
        </w:rPr>
        <w:t>4．包装要求</w:t>
      </w:r>
      <w:bookmarkEnd w:id="3"/>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4.2 每件包装箱内应附一份详细装箱单和质量合格证。</w:t>
      </w:r>
    </w:p>
    <w:p>
      <w:pPr>
        <w:pStyle w:val="3"/>
        <w:spacing w:before="0" w:after="0" w:line="320" w:lineRule="exact"/>
        <w:rPr>
          <w:rFonts w:ascii="仿宋_GB2312" w:hAnsi="宋体" w:eastAsia="仿宋_GB2312"/>
          <w:color w:val="auto"/>
          <w:sz w:val="24"/>
          <w:szCs w:val="24"/>
        </w:rPr>
      </w:pPr>
      <w:bookmarkStart w:id="4" w:name="_Toc162083542"/>
      <w:r>
        <w:rPr>
          <w:rFonts w:hint="eastAsia" w:ascii="仿宋_GB2312" w:hAnsi="宋体" w:eastAsia="仿宋_GB2312"/>
          <w:color w:val="auto"/>
          <w:sz w:val="24"/>
          <w:szCs w:val="24"/>
        </w:rPr>
        <w:t>5．装运标志</w:t>
      </w:r>
      <w:bookmarkEnd w:id="4"/>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5.1 乙方应在每一包装箱邻接的四侧用不褪色的油漆以醒目的中文字样做出下列标记：</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5.1.1收货人</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5.1.2合同号</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5.1.3装运标志</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5.1.4收货人代号</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5.1.5目的地</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5.1.6货物（含软件及相关服务）名称、品目号和箱号</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5.1.7毛重／净重</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5.1.8尺寸（长*宽*高，以cm计）</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5．3因缺少装运标志或者装运标志不明确导致货物在运输、装卸过程中产生的损失，乙方应承担相应的过错责任。</w:t>
      </w:r>
    </w:p>
    <w:p>
      <w:pPr>
        <w:pStyle w:val="3"/>
        <w:spacing w:before="0" w:after="0" w:line="320" w:lineRule="exact"/>
        <w:rPr>
          <w:rFonts w:ascii="仿宋_GB2312" w:hAnsi="宋体" w:eastAsia="仿宋_GB2312"/>
          <w:color w:val="auto"/>
          <w:sz w:val="24"/>
          <w:szCs w:val="24"/>
        </w:rPr>
      </w:pPr>
      <w:bookmarkStart w:id="5" w:name="_Toc162083543"/>
      <w:r>
        <w:rPr>
          <w:rFonts w:hint="eastAsia" w:ascii="仿宋_GB2312" w:hAnsi="宋体" w:eastAsia="仿宋_GB2312"/>
          <w:color w:val="auto"/>
          <w:sz w:val="24"/>
          <w:szCs w:val="24"/>
        </w:rPr>
        <w:t>6．交货方式</w:t>
      </w:r>
      <w:bookmarkEnd w:id="5"/>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6.l 交货方式一般为下列其中一种，具体在合同专用条款中规定。</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6.1.l 现场交货：乙方负责办理运输和保险，将货物（含软件及相关服务）运抵现场。有关运输和保险的一切费用由乙方承担。所有货物（含软件及相关服务）运抵现扬的日期为交货日期。</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6.1.2 工厂交货：由乙方负责办理运输和保险事宜。运输费和保险费由甲方承担。运输部门出具收据的日期为交货日期。</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6.1.3 甲方自提货物（含软件及相关服务）：由甲方在合同规定地点自行办理提货。提单日期为交货日期。</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6.2 乙方应在合同规定的交货期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单价、总价和备妥待交日期以及对货物（含软件及相关服务）在运输和仓储的特殊要求和注意事项通知甲方。</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6.3 在现场交货和工厂交货条件下，乙方装运的货物（含软件及相关服务）不应超过合同规定的数量或重量。否则，乙方应对超运部分的数量或重量而引起的一切后果负责。</w:t>
      </w:r>
    </w:p>
    <w:p>
      <w:pPr>
        <w:pStyle w:val="3"/>
        <w:spacing w:before="0" w:after="0" w:line="320" w:lineRule="exact"/>
        <w:rPr>
          <w:rFonts w:ascii="仿宋_GB2312" w:hAnsi="宋体" w:eastAsia="仿宋_GB2312"/>
          <w:color w:val="auto"/>
          <w:sz w:val="24"/>
          <w:szCs w:val="24"/>
        </w:rPr>
      </w:pPr>
      <w:bookmarkStart w:id="6" w:name="_Toc162083544"/>
      <w:r>
        <w:rPr>
          <w:rFonts w:hint="eastAsia" w:ascii="仿宋_GB2312" w:hAnsi="宋体" w:eastAsia="仿宋_GB2312"/>
          <w:color w:val="auto"/>
          <w:sz w:val="24"/>
          <w:szCs w:val="24"/>
        </w:rPr>
        <w:t>7．装运通知</w:t>
      </w:r>
      <w:bookmarkEnd w:id="6"/>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pPr>
        <w:pStyle w:val="3"/>
        <w:spacing w:before="0" w:after="0" w:line="320" w:lineRule="exact"/>
        <w:rPr>
          <w:rFonts w:ascii="仿宋_GB2312" w:hAnsi="宋体" w:eastAsia="仿宋_GB2312"/>
          <w:color w:val="auto"/>
          <w:sz w:val="24"/>
          <w:szCs w:val="24"/>
        </w:rPr>
      </w:pPr>
      <w:bookmarkStart w:id="7" w:name="_Toc162083545"/>
      <w:r>
        <w:rPr>
          <w:rFonts w:hint="eastAsia" w:ascii="仿宋_GB2312" w:hAnsi="宋体" w:eastAsia="仿宋_GB2312"/>
          <w:color w:val="auto"/>
          <w:sz w:val="24"/>
          <w:szCs w:val="24"/>
        </w:rPr>
        <w:t>8．保险</w:t>
      </w:r>
      <w:bookmarkEnd w:id="7"/>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pPr>
        <w:pStyle w:val="3"/>
        <w:spacing w:before="0" w:after="0" w:line="320" w:lineRule="exact"/>
        <w:rPr>
          <w:rFonts w:ascii="仿宋_GB2312" w:hAnsi="宋体" w:eastAsia="仿宋_GB2312"/>
          <w:color w:val="auto"/>
          <w:sz w:val="24"/>
          <w:szCs w:val="24"/>
        </w:rPr>
      </w:pPr>
      <w:bookmarkStart w:id="8" w:name="_Toc162083546"/>
      <w:r>
        <w:rPr>
          <w:rFonts w:hint="eastAsia" w:ascii="仿宋_GB2312" w:hAnsi="宋体" w:eastAsia="仿宋_GB2312"/>
          <w:color w:val="auto"/>
          <w:sz w:val="24"/>
          <w:szCs w:val="24"/>
        </w:rPr>
        <w:t>9．付款方式</w:t>
      </w:r>
      <w:bookmarkEnd w:id="8"/>
    </w:p>
    <w:p>
      <w:pPr>
        <w:spacing w:line="320" w:lineRule="exact"/>
        <w:rPr>
          <w:rFonts w:ascii="仿宋_GB2312" w:hAnsi="宋体" w:eastAsia="仿宋_GB2312"/>
          <w:color w:val="auto"/>
          <w:sz w:val="24"/>
        </w:rPr>
      </w:pPr>
      <w:r>
        <w:rPr>
          <w:rFonts w:hint="eastAsia" w:ascii="仿宋_GB2312" w:hAnsi="宋体" w:eastAsia="仿宋_GB2312"/>
          <w:color w:val="auto"/>
          <w:sz w:val="24"/>
        </w:rPr>
        <w:t xml:space="preserve">   付款方式见合同专用条款。</w:t>
      </w:r>
    </w:p>
    <w:p>
      <w:pPr>
        <w:pStyle w:val="3"/>
        <w:spacing w:before="0" w:after="0" w:line="320" w:lineRule="exact"/>
        <w:rPr>
          <w:rFonts w:ascii="仿宋_GB2312" w:hAnsi="宋体" w:eastAsia="仿宋_GB2312"/>
          <w:color w:val="auto"/>
          <w:sz w:val="24"/>
          <w:szCs w:val="24"/>
        </w:rPr>
      </w:pPr>
      <w:bookmarkStart w:id="9" w:name="_Toc162083547"/>
      <w:r>
        <w:rPr>
          <w:rFonts w:hint="eastAsia" w:ascii="仿宋_GB2312" w:hAnsi="宋体" w:eastAsia="仿宋_GB2312"/>
          <w:color w:val="auto"/>
          <w:sz w:val="24"/>
          <w:szCs w:val="24"/>
        </w:rPr>
        <w:t>10．技术资料</w:t>
      </w:r>
      <w:bookmarkEnd w:id="9"/>
    </w:p>
    <w:p>
      <w:pPr>
        <w:spacing w:line="320" w:lineRule="exact"/>
        <w:rPr>
          <w:rFonts w:ascii="仿宋_GB2312" w:hAnsi="宋体" w:eastAsia="仿宋_GB2312"/>
          <w:color w:val="auto"/>
          <w:sz w:val="24"/>
        </w:rPr>
      </w:pPr>
      <w:r>
        <w:rPr>
          <w:rFonts w:hint="eastAsia" w:ascii="仿宋_GB2312" w:hAnsi="宋体" w:eastAsia="仿宋_GB2312"/>
          <w:color w:val="auto"/>
          <w:sz w:val="24"/>
        </w:rPr>
        <w:t xml:space="preserve">   合同项下技术资料（除合同专用条款规定外）将以下列方式交付：</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10.l 合同生效后60天之内，乙方应将每台设备和仪器的中文技术资料一套，如目录索引、图纸、操作手册、使用指南、维修指南和服务手册等交给甲方。</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10.2 另外一套完整的上述资料应包装好随每批货物（含软件及相关服务）一起发运。</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10.3 如果甲方确认乙方提供的技术资料不完整或在运输过程中丢失，乙方将在收到甲方通知后3天内将这些资料免费交给甲方。</w:t>
      </w:r>
    </w:p>
    <w:p>
      <w:pPr>
        <w:pStyle w:val="3"/>
        <w:spacing w:before="0" w:after="0" w:line="320" w:lineRule="exact"/>
        <w:rPr>
          <w:rFonts w:ascii="仿宋_GB2312" w:hAnsi="宋体" w:eastAsia="仿宋_GB2312"/>
          <w:color w:val="auto"/>
          <w:sz w:val="24"/>
          <w:szCs w:val="24"/>
        </w:rPr>
      </w:pPr>
      <w:bookmarkStart w:id="10" w:name="_Toc162083548"/>
      <w:r>
        <w:rPr>
          <w:rFonts w:hint="eastAsia" w:ascii="仿宋_GB2312" w:hAnsi="宋体" w:eastAsia="仿宋_GB2312"/>
          <w:color w:val="auto"/>
          <w:sz w:val="24"/>
          <w:szCs w:val="24"/>
        </w:rPr>
        <w:t>11．质量保证</w:t>
      </w:r>
      <w:bookmarkEnd w:id="10"/>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11.3 乙方在收到通知后30天内应免费维修或更换有缺陷的货物（含软件及相关服务）或部件。</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11.4 如果乙方在收到通知后30天内没有弥补缺陷，甲方可采取必要的补救措施，但风险和费用将由乙方承担。</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11.5 除合同专用条款规定外，合同项下货物（含软件及相关服务）的质量保证期为自货物（含软件及相关服务）通过最终验收起12个月。</w:t>
      </w:r>
    </w:p>
    <w:p>
      <w:pPr>
        <w:pStyle w:val="3"/>
        <w:spacing w:before="0" w:after="0" w:line="320" w:lineRule="exact"/>
        <w:rPr>
          <w:rFonts w:ascii="仿宋_GB2312" w:hAnsi="宋体" w:eastAsia="仿宋_GB2312"/>
          <w:color w:val="auto"/>
          <w:sz w:val="24"/>
          <w:szCs w:val="24"/>
        </w:rPr>
      </w:pPr>
      <w:bookmarkStart w:id="11" w:name="_Toc162083549"/>
      <w:r>
        <w:rPr>
          <w:rFonts w:hint="eastAsia" w:ascii="仿宋_GB2312" w:hAnsi="宋体" w:eastAsia="仿宋_GB2312"/>
          <w:color w:val="auto"/>
          <w:sz w:val="24"/>
          <w:szCs w:val="24"/>
        </w:rPr>
        <w:t>12.检验及安装</w:t>
      </w:r>
      <w:bookmarkEnd w:id="11"/>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12.3 如果货物（含软件及相关服务）的质量和规格与合同不符，或在第11条规定的质量保证期内证实货物（含软件及相关服务）是有缺陷的，包括潜在的缺陷或使用不符合要求的材料，甲方将有权向乙方提出索赔。</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12.4 甲方有权提出在货物（含软件及相关服务）制造过程中派人到制造厂进行监造，乙方有义务为甲方监造人员提供方便。</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12.5 制造厂对所供货物（含软件及相关服务）进行机械运转试验和性能试验时，必须提前通知甲方。</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12.6 货物（含软件及相关服务）的安装按招标文件第六章要求进行。</w:t>
      </w:r>
    </w:p>
    <w:p>
      <w:pPr>
        <w:pStyle w:val="3"/>
        <w:spacing w:before="0" w:after="0" w:line="320" w:lineRule="exact"/>
        <w:rPr>
          <w:rFonts w:ascii="仿宋_GB2312" w:hAnsi="宋体" w:eastAsia="仿宋_GB2312"/>
          <w:color w:val="auto"/>
          <w:sz w:val="24"/>
          <w:szCs w:val="24"/>
        </w:rPr>
      </w:pPr>
      <w:bookmarkStart w:id="12" w:name="_Toc162083550"/>
      <w:r>
        <w:rPr>
          <w:rFonts w:hint="eastAsia" w:ascii="仿宋_GB2312" w:hAnsi="宋体" w:eastAsia="仿宋_GB2312"/>
          <w:color w:val="auto"/>
          <w:sz w:val="24"/>
          <w:szCs w:val="24"/>
        </w:rPr>
        <w:t>13．索赔</w:t>
      </w:r>
      <w:bookmarkEnd w:id="12"/>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13.1 除责任应由保险公司或运输部门承担的之外，甲方有权根据甲方按检验标准自己检验的结果或当地商检部门出具的商检证书向乙方提出索赔。</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13.2 在第 11条和第 12条规定的检验期和质量保证期内，如果乙方对甲方提出的索赔和差异负有责任，乙方应按照甲方同意的下列一种或多种方式解决索赔事宜：</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13.2.1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13.2.2根据货物（含软件及相关服务）的低劣程度、损坏程度以及甲方遭受损失的数额，经买卖双方商定降低货物（含软件及相关服务）的价格。</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13.2.3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13.3 如果在甲方发出索赔通知后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pPr>
        <w:pStyle w:val="3"/>
        <w:spacing w:before="0" w:after="0" w:line="320" w:lineRule="exact"/>
        <w:rPr>
          <w:rFonts w:ascii="仿宋_GB2312" w:hAnsi="宋体" w:eastAsia="仿宋_GB2312"/>
          <w:color w:val="auto"/>
          <w:sz w:val="24"/>
          <w:szCs w:val="24"/>
        </w:rPr>
      </w:pPr>
      <w:bookmarkStart w:id="13" w:name="_Toc162083551"/>
      <w:r>
        <w:rPr>
          <w:rFonts w:hint="eastAsia" w:ascii="仿宋_GB2312" w:hAnsi="宋体" w:eastAsia="仿宋_GB2312"/>
          <w:color w:val="auto"/>
          <w:sz w:val="24"/>
          <w:szCs w:val="24"/>
        </w:rPr>
        <w:t>14．拖延交货</w:t>
      </w:r>
      <w:bookmarkEnd w:id="13"/>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14.l 乙方应按照合同专用条款中规定的交货期交货和提供服务。</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14.2 如果乙方毫无理由地拖延交货，将受到以下制裁：没收履约保证金，加收违约损失赔偿和／或终止合同。</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14.3 在履行合同过程中，如果乙方遇到不能按时交货和提供服务的情况，应及时以书面形式将不能按时交货的理由、延误时间通知甲方。甲方在收到乙方通知后，应进行分析，可通过修改合同，酌情延长交货时间。</w:t>
      </w:r>
    </w:p>
    <w:p>
      <w:pPr>
        <w:pStyle w:val="3"/>
        <w:spacing w:before="0" w:after="0" w:line="320" w:lineRule="exact"/>
        <w:rPr>
          <w:rFonts w:ascii="仿宋_GB2312" w:hAnsi="宋体" w:eastAsia="仿宋_GB2312"/>
          <w:color w:val="auto"/>
          <w:sz w:val="24"/>
          <w:szCs w:val="24"/>
        </w:rPr>
      </w:pPr>
      <w:bookmarkStart w:id="14" w:name="_Toc162083552"/>
      <w:r>
        <w:rPr>
          <w:rFonts w:hint="eastAsia" w:ascii="仿宋_GB2312" w:hAnsi="宋体" w:eastAsia="仿宋_GB2312"/>
          <w:color w:val="auto"/>
          <w:sz w:val="24"/>
          <w:szCs w:val="24"/>
        </w:rPr>
        <w:t>15．违约赔偿</w:t>
      </w:r>
      <w:bookmarkEnd w:id="14"/>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服务的合同价的5％。一周按7天计算，不足7天按一周计算。甲方有权终止合同，并按合同约定及法律规定追究乙方的违约责任。</w:t>
      </w:r>
    </w:p>
    <w:p>
      <w:pPr>
        <w:pStyle w:val="3"/>
        <w:spacing w:before="0" w:after="0" w:line="320" w:lineRule="exact"/>
        <w:rPr>
          <w:rFonts w:ascii="仿宋_GB2312" w:hAnsi="宋体" w:eastAsia="仿宋_GB2312"/>
          <w:color w:val="auto"/>
          <w:sz w:val="24"/>
          <w:szCs w:val="24"/>
        </w:rPr>
      </w:pPr>
      <w:bookmarkStart w:id="15" w:name="_Toc162083553"/>
      <w:r>
        <w:rPr>
          <w:rFonts w:hint="eastAsia" w:ascii="仿宋_GB2312" w:hAnsi="宋体" w:eastAsia="仿宋_GB2312"/>
          <w:color w:val="auto"/>
          <w:sz w:val="24"/>
          <w:szCs w:val="24"/>
        </w:rPr>
        <w:t>16．不可抗力</w:t>
      </w:r>
      <w:bookmarkEnd w:id="15"/>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16.l 如果双方中任何一方由于战争、严重火灾、水灾、台风和地震以及其它经双方同意属于不可抗力的事故，致使合同履行受阻时，履行合同的期限应予以延长，延长的期限应相当于事故所影响的时间。</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pPr>
        <w:pStyle w:val="3"/>
        <w:spacing w:before="0" w:after="0" w:line="320" w:lineRule="exact"/>
        <w:rPr>
          <w:rFonts w:ascii="仿宋_GB2312" w:hAnsi="宋体" w:eastAsia="仿宋_GB2312"/>
          <w:color w:val="auto"/>
          <w:sz w:val="24"/>
          <w:szCs w:val="24"/>
        </w:rPr>
      </w:pPr>
      <w:bookmarkStart w:id="16" w:name="_Toc162083554"/>
      <w:r>
        <w:rPr>
          <w:rFonts w:hint="eastAsia" w:ascii="仿宋_GB2312" w:hAnsi="宋体" w:eastAsia="仿宋_GB2312"/>
          <w:color w:val="auto"/>
          <w:sz w:val="24"/>
          <w:szCs w:val="24"/>
        </w:rPr>
        <w:t>17．税费</w:t>
      </w:r>
      <w:bookmarkEnd w:id="16"/>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17.l 我国政府根据现行税法对甲方征收的与本合同有关的一切税费均由甲方承担。</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17.2 我国政府根据现行税法对乙方征收的与本合同有关的一切税费均由乙方承担。</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17.3 在中国境外发生的与执行本合同有关的一切税费均由乙方承担。</w:t>
      </w:r>
    </w:p>
    <w:p>
      <w:pPr>
        <w:pStyle w:val="3"/>
        <w:spacing w:before="0" w:after="0" w:line="320" w:lineRule="exact"/>
        <w:rPr>
          <w:rFonts w:ascii="仿宋_GB2312" w:hAnsi="宋体" w:eastAsia="仿宋_GB2312"/>
          <w:color w:val="auto"/>
          <w:sz w:val="24"/>
          <w:szCs w:val="24"/>
        </w:rPr>
      </w:pPr>
      <w:bookmarkStart w:id="17" w:name="_Toc162083555"/>
      <w:r>
        <w:rPr>
          <w:rFonts w:hint="eastAsia" w:ascii="仿宋_GB2312" w:hAnsi="宋体" w:eastAsia="仿宋_GB2312"/>
          <w:color w:val="auto"/>
          <w:sz w:val="24"/>
          <w:szCs w:val="24"/>
        </w:rPr>
        <w:t>18．履约保证金</w:t>
      </w:r>
      <w:bookmarkEnd w:id="17"/>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18.1 甲乙双方签订合同后，乙方的投标保证金自动转化为合同履约保证金（甲方委托招标人代为保管）。</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18.2 如乙方未能履行合同规定的任何义务，甲方有权从履约保证金中取得补偿。</w:t>
      </w:r>
    </w:p>
    <w:p>
      <w:pPr>
        <w:pStyle w:val="3"/>
        <w:spacing w:before="0" w:after="0" w:line="320" w:lineRule="exact"/>
        <w:rPr>
          <w:rFonts w:ascii="仿宋_GB2312" w:hAnsi="宋体" w:eastAsia="仿宋_GB2312"/>
          <w:color w:val="auto"/>
          <w:sz w:val="24"/>
          <w:szCs w:val="24"/>
        </w:rPr>
      </w:pPr>
      <w:bookmarkStart w:id="18" w:name="_Toc162083556"/>
      <w:r>
        <w:rPr>
          <w:rFonts w:hint="eastAsia" w:ascii="仿宋_GB2312" w:hAnsi="宋体" w:eastAsia="仿宋_GB2312"/>
          <w:color w:val="auto"/>
          <w:sz w:val="24"/>
          <w:szCs w:val="24"/>
        </w:rPr>
        <w:t>19．仲裁</w:t>
      </w:r>
      <w:bookmarkEnd w:id="18"/>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19.l 买卖双方应通过友好协商，解决在执行本合同中所发生的或与本合同有关的一切争端，如果协商仍得不到解决，任何一方均可按“中华人民共和国合同法”规定提交调解和仲裁。</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19.2 仲裁裁决应为终局裁决，对双方均具有约束力。</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19.3 仲裁费除仲裁机构另有裁决外应由败诉方负担。</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19.4 在仲裁期间，除正在进行仲裁的部分外，合同其它部分继续执行。</w:t>
      </w:r>
    </w:p>
    <w:p>
      <w:pPr>
        <w:pStyle w:val="3"/>
        <w:spacing w:before="0" w:after="0" w:line="320" w:lineRule="exact"/>
        <w:rPr>
          <w:rFonts w:ascii="仿宋_GB2312" w:hAnsi="宋体" w:eastAsia="仿宋_GB2312"/>
          <w:color w:val="auto"/>
          <w:sz w:val="24"/>
          <w:szCs w:val="24"/>
        </w:rPr>
      </w:pPr>
      <w:bookmarkStart w:id="19" w:name="_Toc162083557"/>
      <w:r>
        <w:rPr>
          <w:rFonts w:hint="eastAsia" w:ascii="仿宋_GB2312" w:hAnsi="宋体" w:eastAsia="仿宋_GB2312"/>
          <w:color w:val="auto"/>
          <w:sz w:val="24"/>
          <w:szCs w:val="24"/>
        </w:rPr>
        <w:t>20．违约终止合同</w:t>
      </w:r>
      <w:bookmarkEnd w:id="19"/>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20.l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20.l．1如果乙方未能在合同规定的期限或甲方同意延期的限期内提供全部或部分货物（含软件及相关服务）；</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20.1.2如果乙方未能履行合同规定的其它义务。</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20.2 在甲方根据第20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pPr>
        <w:pStyle w:val="3"/>
        <w:spacing w:before="0" w:after="0" w:line="320" w:lineRule="exact"/>
        <w:rPr>
          <w:rFonts w:ascii="仿宋_GB2312" w:hAnsi="宋体" w:eastAsia="仿宋_GB2312"/>
          <w:color w:val="auto"/>
          <w:sz w:val="24"/>
          <w:szCs w:val="24"/>
        </w:rPr>
      </w:pPr>
      <w:bookmarkStart w:id="20" w:name="_Toc162083558"/>
      <w:r>
        <w:rPr>
          <w:rFonts w:hint="eastAsia" w:ascii="仿宋_GB2312" w:hAnsi="宋体" w:eastAsia="仿宋_GB2312"/>
          <w:color w:val="auto"/>
          <w:sz w:val="24"/>
          <w:szCs w:val="24"/>
        </w:rPr>
        <w:t>21．破产终止合同</w:t>
      </w:r>
      <w:bookmarkEnd w:id="20"/>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如果乙方破产或无清偿能力，甲方可在任何时候以书面通知乙方终止合同，该终止合同以不损害或影响甲方已经采取或将采取补救措施的权利。</w:t>
      </w:r>
    </w:p>
    <w:p>
      <w:pPr>
        <w:pStyle w:val="3"/>
        <w:spacing w:before="0" w:after="0" w:line="320" w:lineRule="exact"/>
        <w:rPr>
          <w:rFonts w:ascii="仿宋_GB2312" w:hAnsi="宋体" w:eastAsia="仿宋_GB2312"/>
          <w:color w:val="auto"/>
          <w:sz w:val="24"/>
          <w:szCs w:val="24"/>
        </w:rPr>
      </w:pPr>
      <w:bookmarkStart w:id="21" w:name="_Toc162083559"/>
      <w:r>
        <w:rPr>
          <w:rFonts w:hint="eastAsia" w:ascii="仿宋_GB2312" w:hAnsi="宋体" w:eastAsia="仿宋_GB2312"/>
          <w:color w:val="auto"/>
          <w:sz w:val="24"/>
          <w:szCs w:val="24"/>
        </w:rPr>
        <w:t>22．转让与分包</w:t>
      </w:r>
      <w:bookmarkEnd w:id="21"/>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22.l 未经甲方事先书面同意，乙方不得部分转让或全部转让其应履行的合同义务。</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22.2 对投标中没有明确分包的合同，乙方应书面通知甲方本合同中将分包的全部分包合同，在原投标文件中或后来发出的分包通知均不能解除乙方履行本合同的义务。</w:t>
      </w:r>
    </w:p>
    <w:p>
      <w:pPr>
        <w:pStyle w:val="3"/>
        <w:spacing w:before="0" w:after="0" w:line="320" w:lineRule="exact"/>
        <w:rPr>
          <w:rFonts w:ascii="仿宋_GB2312" w:hAnsi="宋体" w:eastAsia="仿宋_GB2312"/>
          <w:color w:val="auto"/>
          <w:sz w:val="24"/>
          <w:szCs w:val="24"/>
        </w:rPr>
      </w:pPr>
      <w:bookmarkStart w:id="22" w:name="_Toc162083560"/>
      <w:r>
        <w:rPr>
          <w:rFonts w:hint="eastAsia" w:ascii="仿宋_GB2312" w:hAnsi="宋体" w:eastAsia="仿宋_GB2312"/>
          <w:color w:val="auto"/>
          <w:sz w:val="24"/>
          <w:szCs w:val="24"/>
        </w:rPr>
        <w:t>23．适用法律</w:t>
      </w:r>
      <w:bookmarkEnd w:id="22"/>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本合同应按中华人民共和国的法律进行解释。</w:t>
      </w:r>
    </w:p>
    <w:p>
      <w:pPr>
        <w:pStyle w:val="3"/>
        <w:spacing w:before="0" w:after="0" w:line="320" w:lineRule="exact"/>
        <w:rPr>
          <w:rFonts w:ascii="仿宋_GB2312" w:hAnsi="宋体" w:eastAsia="仿宋_GB2312"/>
          <w:color w:val="auto"/>
          <w:sz w:val="24"/>
          <w:szCs w:val="24"/>
        </w:rPr>
      </w:pPr>
      <w:bookmarkStart w:id="23" w:name="_Toc162083561"/>
      <w:r>
        <w:rPr>
          <w:rFonts w:hint="eastAsia" w:ascii="仿宋_GB2312" w:hAnsi="宋体" w:eastAsia="仿宋_GB2312"/>
          <w:color w:val="auto"/>
          <w:sz w:val="24"/>
          <w:szCs w:val="24"/>
        </w:rPr>
        <w:t>24．合同生效及其它</w:t>
      </w:r>
      <w:bookmarkEnd w:id="23"/>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24.1 合同在双方签字盖章后生效。</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24.2 如需修改或补充合同内容，经协商，双方应签署书面修改或补充协议并经招标人鉴证，该协议将作为本合同的一个组成部分。</w:t>
      </w:r>
    </w:p>
    <w:p>
      <w:pPr>
        <w:pStyle w:val="3"/>
        <w:spacing w:before="0" w:after="0" w:line="320" w:lineRule="exact"/>
        <w:rPr>
          <w:rFonts w:ascii="仿宋_GB2312" w:hAnsi="宋体" w:eastAsia="仿宋_GB2312"/>
          <w:color w:val="auto"/>
          <w:sz w:val="24"/>
          <w:szCs w:val="24"/>
        </w:rPr>
      </w:pPr>
      <w:r>
        <w:rPr>
          <w:rFonts w:hint="eastAsia" w:ascii="仿宋_GB2312" w:hAnsi="宋体" w:eastAsia="仿宋_GB2312"/>
          <w:color w:val="auto"/>
          <w:sz w:val="24"/>
          <w:szCs w:val="24"/>
        </w:rPr>
        <w:t>25. 合同适用</w:t>
      </w:r>
    </w:p>
    <w:p>
      <w:pPr>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本合同通用条款适用货物和服务类采购项目，工程类项目的合同通用条款按建设部门颁发的有关标准通用合同执行。</w:t>
      </w:r>
    </w:p>
    <w:p>
      <w:pPr>
        <w:spacing w:line="320" w:lineRule="exact"/>
        <w:rPr>
          <w:rFonts w:ascii="仿宋_GB2312" w:eastAsia="仿宋_GB2312"/>
          <w:color w:val="auto"/>
          <w:sz w:val="24"/>
        </w:rPr>
      </w:pPr>
    </w:p>
    <w:p>
      <w:pPr>
        <w:spacing w:line="320" w:lineRule="exact"/>
        <w:rPr>
          <w:rFonts w:ascii="仿宋_GB2312" w:eastAsia="仿宋_GB2312"/>
          <w:color w:val="auto"/>
          <w:sz w:val="24"/>
        </w:rPr>
      </w:pPr>
    </w:p>
    <w:p>
      <w:pPr>
        <w:spacing w:line="320" w:lineRule="exact"/>
        <w:rPr>
          <w:rFonts w:ascii="仿宋_GB2312" w:eastAsia="仿宋_GB2312"/>
          <w:color w:val="auto"/>
          <w:sz w:val="24"/>
        </w:rPr>
      </w:pPr>
    </w:p>
    <w:p>
      <w:pPr>
        <w:spacing w:line="320" w:lineRule="exact"/>
        <w:rPr>
          <w:color w:val="auto"/>
        </w:rPr>
      </w:pPr>
      <w:r>
        <w:rPr>
          <w:rFonts w:hint="eastAsia" w:ascii="仿宋_GB2312" w:eastAsia="仿宋_GB2312"/>
          <w:color w:val="auto"/>
          <w:sz w:val="24"/>
        </w:rPr>
        <w:t>（以下空白）</w:t>
      </w:r>
    </w:p>
    <w:sectPr>
      <w:footerReference r:id="rId3" w:type="default"/>
      <w:footerReference r:id="rId4" w:type="even"/>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7B"/>
    <w:rsid w:val="00004084"/>
    <w:rsid w:val="00007D15"/>
    <w:rsid w:val="00012422"/>
    <w:rsid w:val="00033096"/>
    <w:rsid w:val="00037986"/>
    <w:rsid w:val="00041D9E"/>
    <w:rsid w:val="000441C1"/>
    <w:rsid w:val="00044BFC"/>
    <w:rsid w:val="00055911"/>
    <w:rsid w:val="00057E38"/>
    <w:rsid w:val="00065011"/>
    <w:rsid w:val="0007035C"/>
    <w:rsid w:val="000751F9"/>
    <w:rsid w:val="00097D85"/>
    <w:rsid w:val="000A0E82"/>
    <w:rsid w:val="000B5A64"/>
    <w:rsid w:val="000B7A10"/>
    <w:rsid w:val="000C348F"/>
    <w:rsid w:val="000C61FC"/>
    <w:rsid w:val="000C71DC"/>
    <w:rsid w:val="000D50F2"/>
    <w:rsid w:val="000F002C"/>
    <w:rsid w:val="00100F75"/>
    <w:rsid w:val="00101968"/>
    <w:rsid w:val="001048C6"/>
    <w:rsid w:val="00114E66"/>
    <w:rsid w:val="001162FE"/>
    <w:rsid w:val="00132912"/>
    <w:rsid w:val="0013298E"/>
    <w:rsid w:val="00135494"/>
    <w:rsid w:val="001369F9"/>
    <w:rsid w:val="00143C5C"/>
    <w:rsid w:val="00151A30"/>
    <w:rsid w:val="001553B2"/>
    <w:rsid w:val="0017604D"/>
    <w:rsid w:val="00194FC8"/>
    <w:rsid w:val="001B2049"/>
    <w:rsid w:val="001B6A98"/>
    <w:rsid w:val="001C36BA"/>
    <w:rsid w:val="001D2F7B"/>
    <w:rsid w:val="001E2C98"/>
    <w:rsid w:val="002128D8"/>
    <w:rsid w:val="00217C34"/>
    <w:rsid w:val="00227B1D"/>
    <w:rsid w:val="002307F2"/>
    <w:rsid w:val="00231D89"/>
    <w:rsid w:val="002341A4"/>
    <w:rsid w:val="002417CE"/>
    <w:rsid w:val="00244696"/>
    <w:rsid w:val="0024544E"/>
    <w:rsid w:val="00245934"/>
    <w:rsid w:val="00253551"/>
    <w:rsid w:val="00255575"/>
    <w:rsid w:val="002556E4"/>
    <w:rsid w:val="00255A6D"/>
    <w:rsid w:val="00262E7A"/>
    <w:rsid w:val="002644BF"/>
    <w:rsid w:val="00275C4A"/>
    <w:rsid w:val="00292B37"/>
    <w:rsid w:val="002A10E7"/>
    <w:rsid w:val="002A5B91"/>
    <w:rsid w:val="002A6D4F"/>
    <w:rsid w:val="002B29D0"/>
    <w:rsid w:val="002C0C9F"/>
    <w:rsid w:val="002C66B1"/>
    <w:rsid w:val="002D40DA"/>
    <w:rsid w:val="002D775B"/>
    <w:rsid w:val="002E252E"/>
    <w:rsid w:val="002E34F3"/>
    <w:rsid w:val="002F1996"/>
    <w:rsid w:val="002F61C0"/>
    <w:rsid w:val="00307A40"/>
    <w:rsid w:val="00307BA7"/>
    <w:rsid w:val="0032065B"/>
    <w:rsid w:val="00331014"/>
    <w:rsid w:val="0033250C"/>
    <w:rsid w:val="00344755"/>
    <w:rsid w:val="00346E47"/>
    <w:rsid w:val="00376DFE"/>
    <w:rsid w:val="00381813"/>
    <w:rsid w:val="00390EA8"/>
    <w:rsid w:val="003B394C"/>
    <w:rsid w:val="003C3AD1"/>
    <w:rsid w:val="003D348C"/>
    <w:rsid w:val="003D70C8"/>
    <w:rsid w:val="00401B38"/>
    <w:rsid w:val="004102A1"/>
    <w:rsid w:val="00412C27"/>
    <w:rsid w:val="00426C26"/>
    <w:rsid w:val="00443B1B"/>
    <w:rsid w:val="0044522A"/>
    <w:rsid w:val="00451FA5"/>
    <w:rsid w:val="00454D26"/>
    <w:rsid w:val="004615C2"/>
    <w:rsid w:val="00467E5B"/>
    <w:rsid w:val="00471B58"/>
    <w:rsid w:val="00473BD1"/>
    <w:rsid w:val="0047709B"/>
    <w:rsid w:val="004815BA"/>
    <w:rsid w:val="004821AE"/>
    <w:rsid w:val="00490094"/>
    <w:rsid w:val="00493500"/>
    <w:rsid w:val="00495051"/>
    <w:rsid w:val="00497B29"/>
    <w:rsid w:val="004A4856"/>
    <w:rsid w:val="004E3724"/>
    <w:rsid w:val="00507798"/>
    <w:rsid w:val="005163B1"/>
    <w:rsid w:val="00520DC0"/>
    <w:rsid w:val="00541017"/>
    <w:rsid w:val="005419D0"/>
    <w:rsid w:val="00543524"/>
    <w:rsid w:val="005579D9"/>
    <w:rsid w:val="005635CA"/>
    <w:rsid w:val="005710D0"/>
    <w:rsid w:val="00575ADF"/>
    <w:rsid w:val="005862A3"/>
    <w:rsid w:val="005A43C0"/>
    <w:rsid w:val="005B11F5"/>
    <w:rsid w:val="005B63F2"/>
    <w:rsid w:val="005C1173"/>
    <w:rsid w:val="005C5DE6"/>
    <w:rsid w:val="005D3026"/>
    <w:rsid w:val="005D6AF5"/>
    <w:rsid w:val="005E54E0"/>
    <w:rsid w:val="005E55DF"/>
    <w:rsid w:val="005F2444"/>
    <w:rsid w:val="005F281F"/>
    <w:rsid w:val="006051EE"/>
    <w:rsid w:val="00607696"/>
    <w:rsid w:val="00614025"/>
    <w:rsid w:val="00624C4E"/>
    <w:rsid w:val="006264E3"/>
    <w:rsid w:val="00627AE8"/>
    <w:rsid w:val="00627B94"/>
    <w:rsid w:val="00635F21"/>
    <w:rsid w:val="00657524"/>
    <w:rsid w:val="00666347"/>
    <w:rsid w:val="00666A5F"/>
    <w:rsid w:val="0067205C"/>
    <w:rsid w:val="006A4A57"/>
    <w:rsid w:val="006B3223"/>
    <w:rsid w:val="006B44E6"/>
    <w:rsid w:val="006C43CE"/>
    <w:rsid w:val="006E0E82"/>
    <w:rsid w:val="006E30B3"/>
    <w:rsid w:val="006E4CC8"/>
    <w:rsid w:val="006F6EAA"/>
    <w:rsid w:val="00700E47"/>
    <w:rsid w:val="0071122E"/>
    <w:rsid w:val="00712294"/>
    <w:rsid w:val="00721846"/>
    <w:rsid w:val="007361E7"/>
    <w:rsid w:val="00737FCB"/>
    <w:rsid w:val="00744B8A"/>
    <w:rsid w:val="00755D1A"/>
    <w:rsid w:val="00760A0A"/>
    <w:rsid w:val="00763C45"/>
    <w:rsid w:val="007714DA"/>
    <w:rsid w:val="00796226"/>
    <w:rsid w:val="007A0FE2"/>
    <w:rsid w:val="007C1C12"/>
    <w:rsid w:val="007E094D"/>
    <w:rsid w:val="007E1681"/>
    <w:rsid w:val="007F2E4F"/>
    <w:rsid w:val="007F3E14"/>
    <w:rsid w:val="00821956"/>
    <w:rsid w:val="008225A5"/>
    <w:rsid w:val="00832D17"/>
    <w:rsid w:val="00842C9A"/>
    <w:rsid w:val="008501D2"/>
    <w:rsid w:val="0086718B"/>
    <w:rsid w:val="008726F2"/>
    <w:rsid w:val="00882B10"/>
    <w:rsid w:val="00886900"/>
    <w:rsid w:val="008A067F"/>
    <w:rsid w:val="008A194D"/>
    <w:rsid w:val="008A3F38"/>
    <w:rsid w:val="008A7285"/>
    <w:rsid w:val="008B7E16"/>
    <w:rsid w:val="008D0432"/>
    <w:rsid w:val="008E4E67"/>
    <w:rsid w:val="008F0969"/>
    <w:rsid w:val="009051D6"/>
    <w:rsid w:val="00912857"/>
    <w:rsid w:val="0092695D"/>
    <w:rsid w:val="0093050C"/>
    <w:rsid w:val="009607CB"/>
    <w:rsid w:val="00972D66"/>
    <w:rsid w:val="00975FBA"/>
    <w:rsid w:val="0097660B"/>
    <w:rsid w:val="00977FA8"/>
    <w:rsid w:val="009870CF"/>
    <w:rsid w:val="009A2475"/>
    <w:rsid w:val="009B67D1"/>
    <w:rsid w:val="009B7068"/>
    <w:rsid w:val="009C5BBC"/>
    <w:rsid w:val="009D0F9D"/>
    <w:rsid w:val="009E4C96"/>
    <w:rsid w:val="009E79ED"/>
    <w:rsid w:val="00A307F1"/>
    <w:rsid w:val="00A475F9"/>
    <w:rsid w:val="00A4789C"/>
    <w:rsid w:val="00A528C3"/>
    <w:rsid w:val="00A531BE"/>
    <w:rsid w:val="00A75F69"/>
    <w:rsid w:val="00A83DC8"/>
    <w:rsid w:val="00A91BD6"/>
    <w:rsid w:val="00A968C7"/>
    <w:rsid w:val="00AA07DF"/>
    <w:rsid w:val="00AB2741"/>
    <w:rsid w:val="00AB4D84"/>
    <w:rsid w:val="00AB7552"/>
    <w:rsid w:val="00AC32F4"/>
    <w:rsid w:val="00AD56A8"/>
    <w:rsid w:val="00AE534F"/>
    <w:rsid w:val="00AF02D3"/>
    <w:rsid w:val="00AF38D4"/>
    <w:rsid w:val="00AF4B2B"/>
    <w:rsid w:val="00B00B2F"/>
    <w:rsid w:val="00B071F4"/>
    <w:rsid w:val="00B152BF"/>
    <w:rsid w:val="00B17068"/>
    <w:rsid w:val="00B37941"/>
    <w:rsid w:val="00B4533B"/>
    <w:rsid w:val="00B57BB4"/>
    <w:rsid w:val="00B65B92"/>
    <w:rsid w:val="00B65BC5"/>
    <w:rsid w:val="00B673FB"/>
    <w:rsid w:val="00B96E81"/>
    <w:rsid w:val="00B97B82"/>
    <w:rsid w:val="00BB4DCE"/>
    <w:rsid w:val="00BB599F"/>
    <w:rsid w:val="00BC72B8"/>
    <w:rsid w:val="00BE7CC2"/>
    <w:rsid w:val="00BF431F"/>
    <w:rsid w:val="00BF76CB"/>
    <w:rsid w:val="00C247ED"/>
    <w:rsid w:val="00C27C79"/>
    <w:rsid w:val="00C31E4C"/>
    <w:rsid w:val="00C34BF0"/>
    <w:rsid w:val="00C35E31"/>
    <w:rsid w:val="00C36414"/>
    <w:rsid w:val="00C429BE"/>
    <w:rsid w:val="00C44FDF"/>
    <w:rsid w:val="00C46810"/>
    <w:rsid w:val="00C569B1"/>
    <w:rsid w:val="00C57032"/>
    <w:rsid w:val="00C648C7"/>
    <w:rsid w:val="00C8293B"/>
    <w:rsid w:val="00CA12CF"/>
    <w:rsid w:val="00CA76D2"/>
    <w:rsid w:val="00CB2E75"/>
    <w:rsid w:val="00CC0D59"/>
    <w:rsid w:val="00CC2E5E"/>
    <w:rsid w:val="00CD042F"/>
    <w:rsid w:val="00CE4CEC"/>
    <w:rsid w:val="00CF1A27"/>
    <w:rsid w:val="00CF357E"/>
    <w:rsid w:val="00D02389"/>
    <w:rsid w:val="00D1190A"/>
    <w:rsid w:val="00D24504"/>
    <w:rsid w:val="00D334EC"/>
    <w:rsid w:val="00D33F7B"/>
    <w:rsid w:val="00D657CE"/>
    <w:rsid w:val="00D67EC2"/>
    <w:rsid w:val="00D722D2"/>
    <w:rsid w:val="00D86C35"/>
    <w:rsid w:val="00D94915"/>
    <w:rsid w:val="00DA47EF"/>
    <w:rsid w:val="00DC79E5"/>
    <w:rsid w:val="00DD2C26"/>
    <w:rsid w:val="00DE00E8"/>
    <w:rsid w:val="00DE277F"/>
    <w:rsid w:val="00DE52EE"/>
    <w:rsid w:val="00E07276"/>
    <w:rsid w:val="00E12066"/>
    <w:rsid w:val="00E218D5"/>
    <w:rsid w:val="00E24B4A"/>
    <w:rsid w:val="00E52871"/>
    <w:rsid w:val="00E52F02"/>
    <w:rsid w:val="00E71F75"/>
    <w:rsid w:val="00E93F7C"/>
    <w:rsid w:val="00E94954"/>
    <w:rsid w:val="00E94A14"/>
    <w:rsid w:val="00EA2AA2"/>
    <w:rsid w:val="00EA6041"/>
    <w:rsid w:val="00EB3C67"/>
    <w:rsid w:val="00EB5968"/>
    <w:rsid w:val="00EC007B"/>
    <w:rsid w:val="00ED3BDF"/>
    <w:rsid w:val="00EF7841"/>
    <w:rsid w:val="00F03435"/>
    <w:rsid w:val="00F04CED"/>
    <w:rsid w:val="00F1127B"/>
    <w:rsid w:val="00F20268"/>
    <w:rsid w:val="00F45878"/>
    <w:rsid w:val="00F50EE3"/>
    <w:rsid w:val="00F51D95"/>
    <w:rsid w:val="00F526B2"/>
    <w:rsid w:val="00F537E1"/>
    <w:rsid w:val="00F674EF"/>
    <w:rsid w:val="00F76702"/>
    <w:rsid w:val="00FA5839"/>
    <w:rsid w:val="00FA7DFF"/>
    <w:rsid w:val="00FB4147"/>
    <w:rsid w:val="00FB57B1"/>
    <w:rsid w:val="00FC3D15"/>
    <w:rsid w:val="00FF0A16"/>
    <w:rsid w:val="00FF7C04"/>
    <w:rsid w:val="026644C9"/>
    <w:rsid w:val="036F2C33"/>
    <w:rsid w:val="066B1EF9"/>
    <w:rsid w:val="06CD6519"/>
    <w:rsid w:val="0A8135EB"/>
    <w:rsid w:val="0E794154"/>
    <w:rsid w:val="11CB69C4"/>
    <w:rsid w:val="29255F5D"/>
    <w:rsid w:val="29B96A83"/>
    <w:rsid w:val="2D8C3C7B"/>
    <w:rsid w:val="376161D7"/>
    <w:rsid w:val="387B38F0"/>
    <w:rsid w:val="3D2D1DFB"/>
    <w:rsid w:val="45EC2352"/>
    <w:rsid w:val="478C0815"/>
    <w:rsid w:val="4B8D469F"/>
    <w:rsid w:val="501D4083"/>
    <w:rsid w:val="50513DBE"/>
    <w:rsid w:val="534E4826"/>
    <w:rsid w:val="594764C1"/>
    <w:rsid w:val="59802423"/>
    <w:rsid w:val="5F6751EB"/>
    <w:rsid w:val="624918E6"/>
    <w:rsid w:val="65BB2C7B"/>
    <w:rsid w:val="6BED2B06"/>
    <w:rsid w:val="6D544D1E"/>
    <w:rsid w:val="73D62D9D"/>
    <w:rsid w:val="7EC81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30"/>
    </w:rPr>
  </w:style>
  <w:style w:type="paragraph" w:styleId="3">
    <w:name w:val="heading 2"/>
    <w:basedOn w:val="1"/>
    <w:next w:val="1"/>
    <w:link w:val="16"/>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annotation text"/>
    <w:basedOn w:val="1"/>
    <w:semiHidden/>
    <w:qFormat/>
    <w:uiPriority w:val="0"/>
    <w:pPr>
      <w:jc w:val="left"/>
    </w:pPr>
  </w:style>
  <w:style w:type="paragraph" w:styleId="6">
    <w:name w:val="Plain Text"/>
    <w:basedOn w:val="1"/>
    <w:qFormat/>
    <w:uiPriority w:val="0"/>
    <w:rPr>
      <w:rFonts w:ascii="宋体" w:hAnsi="Courier New"/>
      <w:szCs w:val="21"/>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semiHidden/>
    <w:qFormat/>
    <w:uiPriority w:val="0"/>
    <w:rPr>
      <w:b/>
      <w:bCs/>
    </w:rPr>
  </w:style>
  <w:style w:type="character" w:styleId="14">
    <w:name w:val="page number"/>
    <w:basedOn w:val="13"/>
    <w:qFormat/>
    <w:uiPriority w:val="0"/>
  </w:style>
  <w:style w:type="character" w:styleId="15">
    <w:name w:val="annotation reference"/>
    <w:semiHidden/>
    <w:qFormat/>
    <w:uiPriority w:val="0"/>
    <w:rPr>
      <w:sz w:val="21"/>
      <w:szCs w:val="21"/>
    </w:rPr>
  </w:style>
  <w:style w:type="character" w:customStyle="1" w:styleId="16">
    <w:name w:val="标题 2 字符"/>
    <w:link w:val="3"/>
    <w:qFormat/>
    <w:uiPriority w:val="0"/>
    <w:rPr>
      <w:rFonts w:ascii="Arial" w:hAnsi="Arial" w:eastAsia="黑体"/>
      <w:b/>
      <w:bCs/>
      <w:kern w:val="2"/>
      <w:sz w:val="32"/>
      <w:szCs w:val="32"/>
      <w:lang w:val="en-US" w:eastAsia="zh-CN" w:bidi="ar-SA"/>
    </w:rPr>
  </w:style>
  <w:style w:type="character" w:customStyle="1" w:styleId="17">
    <w:name w:val="页眉 字符"/>
    <w:link w:val="9"/>
    <w:qFormat/>
    <w:uiPriority w:val="0"/>
    <w:rPr>
      <w:kern w:val="2"/>
      <w:sz w:val="18"/>
      <w:szCs w:val="18"/>
    </w:rPr>
  </w:style>
  <w:style w:type="character" w:customStyle="1" w:styleId="18">
    <w:name w:val="批注框文本 字符"/>
    <w:link w:val="7"/>
    <w:qFormat/>
    <w:uiPriority w:val="0"/>
    <w:rPr>
      <w:kern w:val="2"/>
      <w:sz w:val="18"/>
      <w:szCs w:val="18"/>
    </w:rPr>
  </w:style>
  <w:style w:type="paragraph" w:styleId="19">
    <w:name w:val="List Paragraph"/>
    <w:basedOn w:val="1"/>
    <w:qFormat/>
    <w:uiPriority w:val="0"/>
    <w:pPr>
      <w:ind w:firstLine="420" w:firstLineChars="200"/>
    </w:pPr>
    <w:rPr>
      <w:rFonts w:ascii="Calibri" w:hAnsi="Calibri"/>
      <w:szCs w:val="22"/>
    </w:rPr>
  </w:style>
  <w:style w:type="paragraph" w:customStyle="1" w:styleId="20">
    <w:name w:val="列出段落1"/>
    <w:basedOn w:val="1"/>
    <w:qFormat/>
    <w:uiPriority w:val="0"/>
    <w:pPr>
      <w:ind w:firstLine="420" w:firstLineChars="200"/>
    </w:pPr>
    <w:rPr>
      <w:rFonts w:ascii="Calibri" w:hAnsi="Calibri" w:cs="Calibri"/>
      <w:szCs w:val="22"/>
    </w:rPr>
  </w:style>
  <w:style w:type="paragraph" w:customStyle="1" w:styleId="21">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83ECB-808D-4B35-925F-5A94AB8F27C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14</Pages>
  <Words>2036</Words>
  <Characters>11611</Characters>
  <Lines>96</Lines>
  <Paragraphs>27</Paragraphs>
  <TotalTime>35</TotalTime>
  <ScaleCrop>false</ScaleCrop>
  <LinksUpToDate>false</LinksUpToDate>
  <CharactersWithSpaces>13620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2019-07-01T06:50:00Z</dcterms:created>
  <dc:creator>周燮斐</dc:creator>
  <cp:lastModifiedBy>THOM</cp:lastModifiedBy>
  <cp:lastPrinted>2019-07-01T00:54:00Z</cp:lastPrinted>
  <dcterms:modified xsi:type="dcterms:W3CDTF">2019-07-10T08:06:57Z</dcterms:modified>
  <dc:title>江苏第二师范学院招标采购文件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